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DAD" w:rsidRDefault="00BB53E2">
      <w:pPr>
        <w:spacing w:line="360" w:lineRule="auto"/>
        <w:jc w:val="center"/>
        <w:rPr>
          <w:rFonts w:ascii="彩虹小标宋" w:eastAsia="彩虹小标宋" w:hAnsi="彩虹小标宋" w:cs="彩虹小标宋"/>
          <w:bCs/>
          <w:snapToGrid w:val="0"/>
          <w:sz w:val="44"/>
          <w:szCs w:val="44"/>
        </w:rPr>
      </w:pPr>
      <w:r>
        <w:rPr>
          <w:rFonts w:ascii="彩虹小标宋" w:eastAsia="彩虹小标宋" w:hAnsi="彩虹小标宋" w:cs="彩虹小标宋" w:hint="eastAsia"/>
          <w:bCs/>
          <w:snapToGrid w:val="0"/>
          <w:sz w:val="44"/>
          <w:szCs w:val="44"/>
        </w:rPr>
        <w:t>建设银行宜宾分行公务用车维修维保服务采购需求</w:t>
      </w:r>
    </w:p>
    <w:p w:rsidR="00B24DAD" w:rsidRDefault="00B24DAD">
      <w:pPr>
        <w:spacing w:line="360" w:lineRule="auto"/>
        <w:rPr>
          <w:rFonts w:ascii="彩虹粗仿宋" w:eastAsia="彩虹粗仿宋" w:hAnsi="宋体" w:cs="Times New Roman"/>
          <w:snapToGrid w:val="0"/>
          <w:kern w:val="0"/>
          <w:sz w:val="32"/>
          <w:szCs w:val="32"/>
        </w:rPr>
      </w:pPr>
    </w:p>
    <w:p w:rsidR="00B24DAD" w:rsidRDefault="00BB53E2">
      <w:pPr>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一、服务供应商要求，包括公司行业地位、财务状况、专业人员数量和资质等。</w:t>
      </w:r>
    </w:p>
    <w:p w:rsidR="00B24DAD" w:rsidRDefault="00BB53E2">
      <w:pPr>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（一）须是在中华人民共和国境内注册的法人企业；且取得营业执照或统一社会信用代码证；在宜宾市有固定的经营场所；</w:t>
      </w:r>
    </w:p>
    <w:p w:rsidR="00B24DAD" w:rsidRDefault="00BB53E2">
      <w:pPr>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（二）注册资金人民币30万元（含）以上；</w:t>
      </w:r>
    </w:p>
    <w:p w:rsidR="00B24DAD" w:rsidRDefault="00BB53E2">
      <w:pPr>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（三）持续经营两年（含）以上，最近两年财务状况良好；</w:t>
      </w:r>
    </w:p>
    <w:p w:rsidR="00B24DAD" w:rsidRDefault="00BB53E2">
      <w:pPr>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（四）原则上供应商应为一般纳税人且可提供增值税专用发票;</w:t>
      </w:r>
    </w:p>
    <w:p w:rsidR="00B24DAD" w:rsidRDefault="00BB53E2">
      <w:pPr>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（五）行业主管部门审验合格的二类及以上汽车维修企业；</w:t>
      </w:r>
    </w:p>
    <w:p w:rsidR="00B24DAD" w:rsidRDefault="00BB53E2">
      <w:pPr>
        <w:ind w:firstLineChars="200" w:firstLine="640"/>
        <w:rPr>
          <w:rFonts w:ascii="彩虹粗仿宋" w:eastAsia="彩虹粗仿宋" w:hAnsi="宋体" w:cs="Times New Roman"/>
          <w:snapToGrid w:val="0"/>
          <w:kern w:val="0"/>
          <w:sz w:val="32"/>
          <w:szCs w:val="32"/>
        </w:rPr>
      </w:pPr>
      <w:r>
        <w:rPr>
          <w:rFonts w:ascii="彩虹粗仿宋" w:eastAsia="彩虹粗仿宋" w:hAnsi="彩虹粗仿宋" w:cs="彩虹粗仿宋" w:hint="eastAsia"/>
          <w:sz w:val="32"/>
          <w:szCs w:val="32"/>
        </w:rPr>
        <w:t>（六）</w:t>
      </w:r>
      <w:r>
        <w:rPr>
          <w:rFonts w:ascii="彩虹粗仿宋" w:eastAsia="彩虹粗仿宋" w:hAnsi="彩虹粗仿宋" w:cs="彩虹粗仿宋"/>
          <w:sz w:val="32"/>
          <w:szCs w:val="32"/>
        </w:rPr>
        <w:t>与政府、事业单位或国有企业有车辆维修等相关合作</w:t>
      </w:r>
      <w:r>
        <w:rPr>
          <w:rFonts w:ascii="彩虹粗仿宋" w:eastAsia="彩虹粗仿宋" w:hAnsi="彩虹粗仿宋" w:cs="彩虹粗仿宋" w:hint="eastAsia"/>
          <w:sz w:val="32"/>
          <w:szCs w:val="32"/>
        </w:rPr>
        <w:t>案例的优先。</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黑体" w:eastAsia="彩虹黑体" w:hAnsi="彩虹黑体" w:cs="彩虹黑体" w:hint="eastAsia"/>
          <w:snapToGrid w:val="0"/>
          <w:kern w:val="0"/>
          <w:sz w:val="32"/>
          <w:szCs w:val="32"/>
        </w:rPr>
        <w:t>二、服务品类，即本次采购服务的所属的商品品类</w:t>
      </w:r>
      <w:r>
        <w:rPr>
          <w:rFonts w:ascii="彩虹粗仿宋" w:eastAsia="彩虹粗仿宋" w:hAnsi="宋体" w:cs="Times New Roman" w:hint="eastAsia"/>
          <w:snapToGrid w:val="0"/>
          <w:kern w:val="0"/>
          <w:sz w:val="32"/>
          <w:szCs w:val="32"/>
        </w:rPr>
        <w:t>。</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bCs/>
          <w:snapToGrid w:val="0"/>
          <w:sz w:val="32"/>
          <w:szCs w:val="32"/>
        </w:rPr>
        <w:t>公务用车维修维护服务主要包括分行公务用车的大修、小修、维护保养、专项修理、救援服务等。</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hint="eastAsia"/>
          <w:bCs/>
          <w:snapToGrid w:val="0"/>
          <w:sz w:val="32"/>
          <w:szCs w:val="32"/>
        </w:rPr>
        <w:t>附：宜宾分行公务车辆台账</w:t>
      </w:r>
    </w:p>
    <w:p w:rsidR="00D5752D" w:rsidRDefault="00D5752D">
      <w:pPr>
        <w:spacing w:line="360" w:lineRule="auto"/>
        <w:ind w:firstLineChars="200" w:firstLine="640"/>
        <w:rPr>
          <w:rFonts w:ascii="彩虹粗仿宋" w:eastAsia="彩虹粗仿宋" w:hAnsi="彩虹粗仿宋" w:cs="彩虹粗仿宋"/>
          <w:bCs/>
          <w:snapToGrid w:val="0"/>
          <w:sz w:val="32"/>
          <w:szCs w:val="32"/>
        </w:rPr>
      </w:pPr>
    </w:p>
    <w:tbl>
      <w:tblPr>
        <w:tblpPr w:leftFromText="180" w:rightFromText="180" w:vertAnchor="text" w:horzAnchor="page" w:tblpX="1814" w:tblpY="111"/>
        <w:tblOverlap w:val="never"/>
        <w:tblW w:w="7812" w:type="dxa"/>
        <w:tblLayout w:type="fixed"/>
        <w:tblCellMar>
          <w:left w:w="0" w:type="dxa"/>
          <w:right w:w="0" w:type="dxa"/>
        </w:tblCellMar>
        <w:tblLook w:val="04A0" w:firstRow="1" w:lastRow="0" w:firstColumn="1" w:lastColumn="0" w:noHBand="0" w:noVBand="1"/>
      </w:tblPr>
      <w:tblGrid>
        <w:gridCol w:w="1575"/>
        <w:gridCol w:w="1275"/>
        <w:gridCol w:w="1418"/>
        <w:gridCol w:w="2126"/>
        <w:gridCol w:w="1418"/>
      </w:tblGrid>
      <w:tr w:rsidR="00D5752D" w:rsidTr="00643C1D">
        <w:trPr>
          <w:trHeight w:val="760"/>
        </w:trPr>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品牌型号</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排量</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车辆注册登记日期</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截至2024年1月行驶里程（公里）</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备注</w:t>
            </w:r>
          </w:p>
        </w:tc>
      </w:tr>
      <w:tr w:rsidR="00D5752D" w:rsidTr="00643C1D">
        <w:trPr>
          <w:trHeight w:val="534"/>
        </w:trPr>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别克GL8商务车</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2.0T</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2018.11.30</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106735</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燃油车</w:t>
            </w:r>
          </w:p>
        </w:tc>
      </w:tr>
      <w:tr w:rsidR="00D5752D" w:rsidTr="00643C1D">
        <w:trPr>
          <w:trHeight w:val="534"/>
        </w:trPr>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别克GL8商务车</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2.0T</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2022.6.27</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29196</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燃油车</w:t>
            </w:r>
          </w:p>
        </w:tc>
      </w:tr>
      <w:tr w:rsidR="00D5752D" w:rsidTr="00643C1D">
        <w:trPr>
          <w:trHeight w:val="534"/>
        </w:trPr>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别克GL8商务车</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2.0T</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2024.1.23</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0</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燃油车</w:t>
            </w:r>
          </w:p>
        </w:tc>
      </w:tr>
      <w:tr w:rsidR="00D5752D" w:rsidTr="00643C1D">
        <w:trPr>
          <w:trHeight w:val="534"/>
        </w:trPr>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别克君越轿车</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1.5T</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2022.6.30</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7027</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燃油车</w:t>
            </w:r>
          </w:p>
        </w:tc>
      </w:tr>
      <w:tr w:rsidR="00D5752D" w:rsidTr="00643C1D">
        <w:trPr>
          <w:trHeight w:val="480"/>
        </w:trPr>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丰田普拉多</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4.0</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2020.1.9</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17996</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燃油车</w:t>
            </w:r>
          </w:p>
        </w:tc>
      </w:tr>
      <w:tr w:rsidR="00D5752D" w:rsidTr="00643C1D">
        <w:trPr>
          <w:trHeight w:val="480"/>
        </w:trPr>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大众帕萨特轿车</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2.0T</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2014.5.15</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220493</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燃油车</w:t>
            </w:r>
          </w:p>
        </w:tc>
      </w:tr>
      <w:tr w:rsidR="00D5752D" w:rsidTr="00643C1D">
        <w:trPr>
          <w:trHeight w:val="540"/>
        </w:trPr>
        <w:tc>
          <w:tcPr>
            <w:tcW w:w="1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红旗轿车</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纯电</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2022.5.5</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32871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752D" w:rsidRDefault="00D5752D">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纯电车</w:t>
            </w:r>
          </w:p>
        </w:tc>
      </w:tr>
    </w:tbl>
    <w:p w:rsidR="00B24DAD" w:rsidRDefault="00BB53E2">
      <w:pPr>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三、服务内容，包括每项服务的具体内容。</w:t>
      </w:r>
    </w:p>
    <w:p w:rsidR="00B24DAD" w:rsidRDefault="00BB53E2">
      <w:pPr>
        <w:spacing w:line="360" w:lineRule="auto"/>
        <w:ind w:firstLineChars="200" w:firstLine="643"/>
        <w:rPr>
          <w:rFonts w:ascii="彩虹楷体" w:eastAsia="彩虹楷体" w:hAnsi="彩虹楷体" w:cs="彩虹楷体"/>
          <w:b/>
          <w:bCs/>
          <w:snapToGrid w:val="0"/>
          <w:kern w:val="0"/>
          <w:sz w:val="32"/>
          <w:szCs w:val="32"/>
        </w:rPr>
      </w:pPr>
      <w:r>
        <w:rPr>
          <w:rFonts w:ascii="彩虹楷体" w:eastAsia="彩虹楷体" w:hAnsi="彩虹楷体" w:cs="彩虹楷体" w:hint="eastAsia"/>
          <w:b/>
          <w:bCs/>
          <w:snapToGrid w:val="0"/>
          <w:kern w:val="0"/>
          <w:sz w:val="32"/>
          <w:szCs w:val="32"/>
        </w:rPr>
        <w:t>（一）维修</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hint="eastAsia"/>
          <w:bCs/>
          <w:snapToGrid w:val="0"/>
          <w:sz w:val="32"/>
          <w:szCs w:val="32"/>
        </w:rPr>
        <w:t>1.</w:t>
      </w:r>
      <w:r>
        <w:rPr>
          <w:rFonts w:ascii="彩虹粗仿宋" w:eastAsia="彩虹粗仿宋" w:hAnsi="彩虹粗仿宋" w:cs="彩虹粗仿宋"/>
          <w:bCs/>
          <w:snapToGrid w:val="0"/>
          <w:sz w:val="32"/>
          <w:szCs w:val="32"/>
        </w:rPr>
        <w:t>汽车车身维修：主要为钣金、喷漆等修理；</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hint="eastAsia"/>
          <w:bCs/>
          <w:snapToGrid w:val="0"/>
          <w:sz w:val="32"/>
          <w:szCs w:val="32"/>
        </w:rPr>
        <w:t>2.</w:t>
      </w:r>
      <w:r>
        <w:rPr>
          <w:rFonts w:ascii="彩虹粗仿宋" w:eastAsia="彩虹粗仿宋" w:hAnsi="彩虹粗仿宋" w:cs="彩虹粗仿宋"/>
          <w:bCs/>
          <w:snapToGrid w:val="0"/>
          <w:sz w:val="32"/>
          <w:szCs w:val="32"/>
        </w:rPr>
        <w:t>发动机系统维修保养：主要为更换机油及定期保养等；</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hint="eastAsia"/>
          <w:bCs/>
          <w:snapToGrid w:val="0"/>
          <w:sz w:val="32"/>
          <w:szCs w:val="32"/>
        </w:rPr>
        <w:t>3.</w:t>
      </w:r>
      <w:r>
        <w:rPr>
          <w:rFonts w:ascii="彩虹粗仿宋" w:eastAsia="彩虹粗仿宋" w:hAnsi="彩虹粗仿宋" w:cs="彩虹粗仿宋"/>
          <w:bCs/>
          <w:snapToGrid w:val="0"/>
          <w:sz w:val="32"/>
          <w:szCs w:val="32"/>
        </w:rPr>
        <w:t>底盘维修保养：主要为日常保养等；</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hint="eastAsia"/>
          <w:bCs/>
          <w:snapToGrid w:val="0"/>
          <w:sz w:val="32"/>
          <w:szCs w:val="32"/>
        </w:rPr>
        <w:t>4.</w:t>
      </w:r>
      <w:r>
        <w:rPr>
          <w:rFonts w:ascii="彩虹粗仿宋" w:eastAsia="彩虹粗仿宋" w:hAnsi="彩虹粗仿宋" w:cs="彩虹粗仿宋"/>
          <w:bCs/>
          <w:snapToGrid w:val="0"/>
          <w:sz w:val="32"/>
          <w:szCs w:val="32"/>
        </w:rPr>
        <w:t>刹车系统维修保养：主要为日常检查保养、四轮保养、轮胎更换及更换刹车片等；</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hint="eastAsia"/>
          <w:bCs/>
          <w:snapToGrid w:val="0"/>
          <w:sz w:val="32"/>
          <w:szCs w:val="32"/>
        </w:rPr>
        <w:t>5.</w:t>
      </w:r>
      <w:r>
        <w:rPr>
          <w:rFonts w:ascii="彩虹粗仿宋" w:eastAsia="彩虹粗仿宋" w:hAnsi="彩虹粗仿宋" w:cs="彩虹粗仿宋"/>
          <w:bCs/>
          <w:snapToGrid w:val="0"/>
          <w:sz w:val="32"/>
          <w:szCs w:val="32"/>
        </w:rPr>
        <w:t>汽车空调及电器系统维修保养：主要为空调加氟、更换空调格、空气格等；</w:t>
      </w:r>
    </w:p>
    <w:p w:rsidR="00B24DAD" w:rsidRDefault="00BB53E2">
      <w:pPr>
        <w:spacing w:line="360" w:lineRule="auto"/>
        <w:ind w:firstLineChars="200" w:firstLine="640"/>
        <w:rPr>
          <w:rFonts w:ascii="彩虹粗仿宋" w:eastAsia="彩虹粗仿宋" w:hAnsi="彩虹粗仿宋" w:cs="彩虹粗仿宋"/>
          <w:bCs/>
          <w:snapToGrid w:val="0"/>
          <w:sz w:val="32"/>
          <w:szCs w:val="32"/>
        </w:rPr>
      </w:pPr>
      <w:r>
        <w:rPr>
          <w:rFonts w:ascii="彩虹粗仿宋" w:eastAsia="彩虹粗仿宋" w:hAnsi="彩虹粗仿宋" w:cs="彩虹粗仿宋" w:hint="eastAsia"/>
          <w:bCs/>
          <w:snapToGrid w:val="0"/>
          <w:sz w:val="32"/>
          <w:szCs w:val="32"/>
        </w:rPr>
        <w:t>6.</w:t>
      </w:r>
      <w:r>
        <w:rPr>
          <w:rFonts w:ascii="彩虹粗仿宋" w:eastAsia="彩虹粗仿宋" w:hAnsi="彩虹粗仿宋" w:cs="彩虹粗仿宋"/>
          <w:bCs/>
          <w:snapToGrid w:val="0"/>
          <w:sz w:val="32"/>
          <w:szCs w:val="32"/>
        </w:rPr>
        <w:t>车辆大修：主要为大修发动机、总成、变速器、大梁悬架等。</w:t>
      </w:r>
    </w:p>
    <w:p w:rsidR="00CE75D5" w:rsidRDefault="00CE75D5">
      <w:pPr>
        <w:spacing w:line="360" w:lineRule="auto"/>
        <w:ind w:firstLineChars="200" w:firstLine="643"/>
        <w:rPr>
          <w:rFonts w:ascii="彩虹楷体" w:eastAsia="彩虹楷体" w:hAnsi="彩虹楷体" w:cs="彩虹楷体"/>
          <w:b/>
          <w:bCs/>
          <w:snapToGrid w:val="0"/>
          <w:kern w:val="0"/>
          <w:sz w:val="32"/>
          <w:szCs w:val="32"/>
        </w:rPr>
      </w:pPr>
    </w:p>
    <w:p w:rsidR="00CE75D5" w:rsidRDefault="00CE75D5">
      <w:pPr>
        <w:spacing w:line="360" w:lineRule="auto"/>
        <w:ind w:firstLineChars="200" w:firstLine="643"/>
        <w:rPr>
          <w:rFonts w:ascii="彩虹楷体" w:eastAsia="彩虹楷体" w:hAnsi="彩虹楷体" w:cs="彩虹楷体"/>
          <w:b/>
          <w:bCs/>
          <w:snapToGrid w:val="0"/>
          <w:kern w:val="0"/>
          <w:sz w:val="32"/>
          <w:szCs w:val="32"/>
        </w:rPr>
      </w:pPr>
    </w:p>
    <w:p w:rsidR="00CE75D5" w:rsidRDefault="00CE75D5">
      <w:pPr>
        <w:spacing w:line="360" w:lineRule="auto"/>
        <w:ind w:firstLineChars="200" w:firstLine="643"/>
        <w:rPr>
          <w:rFonts w:ascii="彩虹楷体" w:eastAsia="彩虹楷体" w:hAnsi="彩虹楷体" w:cs="彩虹楷体"/>
          <w:b/>
          <w:bCs/>
          <w:snapToGrid w:val="0"/>
          <w:kern w:val="0"/>
          <w:sz w:val="32"/>
          <w:szCs w:val="32"/>
        </w:rPr>
      </w:pPr>
    </w:p>
    <w:p w:rsidR="00B24DAD" w:rsidRDefault="00BB53E2">
      <w:pPr>
        <w:spacing w:line="360" w:lineRule="auto"/>
        <w:ind w:firstLineChars="200" w:firstLine="643"/>
        <w:rPr>
          <w:rFonts w:ascii="彩虹楷体" w:eastAsia="彩虹楷体" w:hAnsi="彩虹楷体" w:cs="彩虹楷体"/>
          <w:b/>
          <w:bCs/>
          <w:snapToGrid w:val="0"/>
          <w:kern w:val="0"/>
          <w:sz w:val="32"/>
          <w:szCs w:val="32"/>
        </w:rPr>
      </w:pPr>
      <w:r>
        <w:rPr>
          <w:rFonts w:ascii="彩虹楷体" w:eastAsia="彩虹楷体" w:hAnsi="彩虹楷体" w:cs="彩虹楷体" w:hint="eastAsia"/>
          <w:b/>
          <w:bCs/>
          <w:snapToGrid w:val="0"/>
          <w:kern w:val="0"/>
          <w:sz w:val="32"/>
          <w:szCs w:val="32"/>
        </w:rPr>
        <w:lastRenderedPageBreak/>
        <w:t>（二）维护</w:t>
      </w:r>
    </w:p>
    <w:tbl>
      <w:tblPr>
        <w:tblW w:w="8331" w:type="dxa"/>
        <w:tblInd w:w="108" w:type="dxa"/>
        <w:tblLayout w:type="fixed"/>
        <w:tblLook w:val="04A0" w:firstRow="1" w:lastRow="0" w:firstColumn="1" w:lastColumn="0" w:noHBand="0" w:noVBand="1"/>
      </w:tblPr>
      <w:tblGrid>
        <w:gridCol w:w="676"/>
        <w:gridCol w:w="11"/>
        <w:gridCol w:w="2109"/>
        <w:gridCol w:w="2310"/>
        <w:gridCol w:w="3225"/>
      </w:tblGrid>
      <w:tr w:rsidR="00B24DAD">
        <w:trPr>
          <w:trHeight w:val="465"/>
        </w:trPr>
        <w:tc>
          <w:tcPr>
            <w:tcW w:w="8331" w:type="dxa"/>
            <w:gridSpan w:val="5"/>
            <w:tcBorders>
              <w:top w:val="nil"/>
              <w:left w:val="nil"/>
              <w:bottom w:val="single" w:sz="4" w:space="0" w:color="auto"/>
              <w:right w:val="nil"/>
            </w:tcBorders>
            <w:shd w:val="clear" w:color="auto" w:fill="auto"/>
            <w:noWrap/>
            <w:vAlign w:val="center"/>
          </w:tcPr>
          <w:p w:rsidR="00B24DAD" w:rsidRDefault="00BB53E2">
            <w:pPr>
              <w:widowControl/>
              <w:jc w:val="center"/>
              <w:rPr>
                <w:rFonts w:ascii="宋体" w:eastAsia="宋体" w:hAnsi="宋体" w:cs="宋体"/>
                <w:b/>
                <w:kern w:val="0"/>
                <w:sz w:val="32"/>
                <w:szCs w:val="32"/>
              </w:rPr>
            </w:pPr>
            <w:bookmarkStart w:id="0" w:name="_GoBack"/>
            <w:bookmarkEnd w:id="0"/>
            <w:r>
              <w:rPr>
                <w:rFonts w:ascii="宋体" w:eastAsia="宋体" w:hAnsi="宋体" w:cs="宋体" w:hint="eastAsia"/>
                <w:b/>
                <w:kern w:val="0"/>
                <w:sz w:val="32"/>
                <w:szCs w:val="32"/>
              </w:rPr>
              <w:t>一级维护项目明细表</w:t>
            </w:r>
          </w:p>
        </w:tc>
      </w:tr>
      <w:tr w:rsidR="00B24DAD">
        <w:trPr>
          <w:trHeight w:val="285"/>
        </w:trPr>
        <w:tc>
          <w:tcPr>
            <w:tcW w:w="676" w:type="dxa"/>
            <w:tcBorders>
              <w:top w:val="nil"/>
              <w:left w:val="single" w:sz="4" w:space="0" w:color="auto"/>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2120" w:type="dxa"/>
            <w:gridSpan w:val="2"/>
            <w:tcBorders>
              <w:top w:val="nil"/>
              <w:left w:val="nil"/>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项目</w:t>
            </w:r>
          </w:p>
        </w:tc>
        <w:tc>
          <w:tcPr>
            <w:tcW w:w="2310" w:type="dxa"/>
            <w:tcBorders>
              <w:top w:val="nil"/>
              <w:left w:val="nil"/>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作业内容</w:t>
            </w:r>
          </w:p>
        </w:tc>
        <w:tc>
          <w:tcPr>
            <w:tcW w:w="3225" w:type="dxa"/>
            <w:tcBorders>
              <w:top w:val="nil"/>
              <w:left w:val="nil"/>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技术要求</w:t>
            </w:r>
          </w:p>
        </w:tc>
      </w:tr>
      <w:tr w:rsidR="00B24DAD">
        <w:trPr>
          <w:trHeight w:val="285"/>
        </w:trPr>
        <w:tc>
          <w:tcPr>
            <w:tcW w:w="676" w:type="dxa"/>
            <w:tcBorders>
              <w:top w:val="nil"/>
              <w:left w:val="single" w:sz="4" w:space="0" w:color="auto"/>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点火系统</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检测、调整</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工作正常</w:t>
            </w:r>
          </w:p>
        </w:tc>
      </w:tr>
      <w:tr w:rsidR="00B24DAD">
        <w:trPr>
          <w:trHeight w:val="765"/>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发动机空气滤清器、空压机空气滤清器、曲轴箱通风系空气滤清器、机油滤清器和燃油滤清器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清洁或更换</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各滤心应清洁无破损，上下衬套无残缺，密封良好；滤清器应清洁，安装牢固</w:t>
            </w:r>
          </w:p>
        </w:tc>
      </w:tr>
      <w:tr w:rsidR="00B24DAD">
        <w:trPr>
          <w:trHeight w:val="54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3</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曲轴箱油面、化油器油面、冷却液液面、制动液液面高度</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525"/>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4</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曲轴箱通风装置、三效催化净化装置</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外观检查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齐全、无损坏</w:t>
            </w:r>
          </w:p>
        </w:tc>
      </w:tr>
      <w:tr w:rsidR="00B24DAD">
        <w:trPr>
          <w:trHeight w:val="765"/>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5</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散热器、油底壳、发动机前后支垫、水泵、空压机、进排气岐管、化油器、输油泵、喷油泵连接螺栓</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检查校紧</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各连接部位螺栓、螺母应紧固锁销、垫圈及胶垫应完好有效</w:t>
            </w:r>
          </w:p>
        </w:tc>
      </w:tr>
      <w:tr w:rsidR="00B24DAD">
        <w:trPr>
          <w:trHeight w:val="54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6</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空压机、发电机、空调机皮带</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检查皮带磨损、老化程度、调整皮带松紧度</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765"/>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7</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转向器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检查转向器液面及密封状况，润滑方向节十字轴、横直拉杆、球头销转向节等部位</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54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8</w:t>
            </w:r>
          </w:p>
        </w:tc>
        <w:tc>
          <w:tcPr>
            <w:tcW w:w="2120" w:type="dxa"/>
            <w:gridSpan w:val="2"/>
            <w:tcBorders>
              <w:top w:val="nil"/>
              <w:left w:val="nil"/>
              <w:bottom w:val="single" w:sz="4" w:space="0" w:color="auto"/>
              <w:right w:val="single" w:sz="4" w:space="0" w:color="auto"/>
            </w:tcBorders>
            <w:shd w:val="clear" w:color="auto" w:fill="auto"/>
            <w:noWrap/>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离合器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检查调整离合器</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操作机构应灵敏可靠，踏板自由行程应符合规定</w:t>
            </w:r>
          </w:p>
        </w:tc>
      </w:tr>
      <w:tr w:rsidR="00B24DAD">
        <w:trPr>
          <w:trHeight w:val="102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9</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变速器、差速器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检查变速器、差速器液面及密封状况，润滑传动轴方向节十字轴、中间轴承，校紧各部连接螺栓</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99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10</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制动系统</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检查紧固各制动管路，检查调整制动踏板自由行程</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制动管路接头应不漏气，支架螺栓坚固可靠，制动联动机构应灵敏可靠，储气简无积水，制动踏板自由行程符合规定</w:t>
            </w:r>
          </w:p>
        </w:tc>
      </w:tr>
      <w:tr w:rsidR="00B24DAD">
        <w:trPr>
          <w:trHeight w:val="51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11</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车架、车身及各附件</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检查、紧固</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各部螺栓及拖钩、挂钩应紧固可靠，无裂损、无窜动、齐全有效</w:t>
            </w:r>
          </w:p>
        </w:tc>
      </w:tr>
      <w:tr w:rsidR="00B24DAD">
        <w:trPr>
          <w:trHeight w:val="96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12</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轮胎</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检查轮辋及压条挡圈，检查轮胎气压（包括备胎）并视情况补气检查轮毂轴承间隙</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轮辋及压条挡圈应无裂损、变形，轮胎气压符合规定，气门嘴帽齐全；轮毂轴承间隙无明显松旷</w:t>
            </w:r>
          </w:p>
        </w:tc>
      </w:tr>
      <w:tr w:rsidR="00B24DAD">
        <w:trPr>
          <w:trHeight w:val="285"/>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13</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悬架机构</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无损坏，连接可靠</w:t>
            </w:r>
          </w:p>
        </w:tc>
      </w:tr>
      <w:tr w:rsidR="00B24DAD">
        <w:trPr>
          <w:trHeight w:val="51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14</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蓄电池</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电解液液面高度应符合规定，通气孔畅通，电池夹头清洁、牢固</w:t>
            </w:r>
          </w:p>
        </w:tc>
      </w:tr>
      <w:tr w:rsidR="00B24DAD">
        <w:trPr>
          <w:trHeight w:val="285"/>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灯光、仪表、信号装置</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齐全有效、安装牢固</w:t>
            </w:r>
          </w:p>
        </w:tc>
      </w:tr>
      <w:tr w:rsidR="00B24DAD">
        <w:trPr>
          <w:trHeight w:val="285"/>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16</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全车润滑点</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润滑</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各润滑嘴安装正确，齐全有效</w:t>
            </w:r>
          </w:p>
        </w:tc>
      </w:tr>
      <w:tr w:rsidR="00B24DAD">
        <w:trPr>
          <w:trHeight w:val="750"/>
        </w:trPr>
        <w:tc>
          <w:tcPr>
            <w:tcW w:w="676" w:type="dxa"/>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17</w:t>
            </w:r>
          </w:p>
        </w:tc>
        <w:tc>
          <w:tcPr>
            <w:tcW w:w="2120" w:type="dxa"/>
            <w:gridSpan w:val="2"/>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全车</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全车不漏油，不漏水、不漏气、不漏电、不漏尘，各防尘罩齐全有效</w:t>
            </w:r>
          </w:p>
        </w:tc>
      </w:tr>
      <w:tr w:rsidR="00B24DAD">
        <w:trPr>
          <w:trHeight w:val="465"/>
        </w:trPr>
        <w:tc>
          <w:tcPr>
            <w:tcW w:w="8331" w:type="dxa"/>
            <w:gridSpan w:val="5"/>
            <w:tcBorders>
              <w:top w:val="nil"/>
              <w:left w:val="nil"/>
              <w:bottom w:val="single" w:sz="4" w:space="0" w:color="auto"/>
              <w:right w:val="nil"/>
            </w:tcBorders>
            <w:shd w:val="clear" w:color="auto" w:fill="auto"/>
            <w:noWrap/>
            <w:vAlign w:val="center"/>
          </w:tcPr>
          <w:p w:rsidR="00B24DAD" w:rsidRDefault="00B24DAD">
            <w:pPr>
              <w:widowControl/>
              <w:jc w:val="center"/>
              <w:rPr>
                <w:rFonts w:ascii="宋体" w:eastAsia="宋体" w:hAnsi="宋体" w:cs="宋体"/>
                <w:b/>
                <w:kern w:val="0"/>
                <w:sz w:val="32"/>
                <w:szCs w:val="32"/>
              </w:rPr>
            </w:pPr>
          </w:p>
          <w:p w:rsidR="00B24DAD" w:rsidRDefault="00BB53E2">
            <w:pPr>
              <w:widowControl/>
              <w:jc w:val="center"/>
              <w:rPr>
                <w:rFonts w:ascii="宋体" w:eastAsia="宋体" w:hAnsi="宋体" w:cs="宋体"/>
                <w:b/>
                <w:kern w:val="0"/>
                <w:sz w:val="32"/>
                <w:szCs w:val="32"/>
              </w:rPr>
            </w:pPr>
            <w:r>
              <w:rPr>
                <w:rFonts w:ascii="宋体" w:eastAsia="宋体" w:hAnsi="宋体" w:cs="宋体" w:hint="eastAsia"/>
                <w:b/>
                <w:kern w:val="0"/>
                <w:sz w:val="32"/>
                <w:szCs w:val="32"/>
              </w:rPr>
              <w:t>二级维护项目明细表</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2109" w:type="dxa"/>
            <w:tcBorders>
              <w:top w:val="nil"/>
              <w:left w:val="nil"/>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项目</w:t>
            </w:r>
          </w:p>
        </w:tc>
        <w:tc>
          <w:tcPr>
            <w:tcW w:w="2310" w:type="dxa"/>
            <w:tcBorders>
              <w:top w:val="nil"/>
              <w:left w:val="nil"/>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作业内容</w:t>
            </w:r>
          </w:p>
        </w:tc>
        <w:tc>
          <w:tcPr>
            <w:tcW w:w="3225" w:type="dxa"/>
            <w:tcBorders>
              <w:top w:val="nil"/>
              <w:left w:val="nil"/>
              <w:bottom w:val="single" w:sz="4" w:space="0" w:color="auto"/>
              <w:right w:val="single" w:sz="4" w:space="0" w:color="auto"/>
            </w:tcBorders>
            <w:shd w:val="clear" w:color="auto" w:fill="auto"/>
            <w:noWrap/>
            <w:vAlign w:val="bottom"/>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技术要求</w:t>
            </w:r>
          </w:p>
        </w:tc>
      </w:tr>
      <w:tr w:rsidR="00B24DAD">
        <w:trPr>
          <w:trHeight w:val="96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发动机润滑油，机油滤清器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①更换润滑油               ②视情况更换机油滤清器</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①润滑油规格性能指标符合要求      ②液面高度符合规定            ③机油滤清器密封良好，无堵塞，完好有效</w:t>
            </w:r>
          </w:p>
        </w:tc>
      </w:tr>
      <w:tr w:rsidR="00B24DAD">
        <w:trPr>
          <w:trHeight w:val="75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检查润滑油油面高度</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检查转向器、变速器、主减速器等润滑油规格和液面高度，不足时按要求补给</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符合出厂规定</w:t>
            </w:r>
          </w:p>
        </w:tc>
      </w:tr>
      <w:tr w:rsidR="00B24DAD">
        <w:trPr>
          <w:trHeight w:val="96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3</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空气滤清器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清洁空气滤清器</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空气滤清器清洁有效，安装有效    恒温进气装置及真空软管安装可靠，进气转换阀，工作灵敏、准确</w:t>
            </w:r>
          </w:p>
        </w:tc>
      </w:tr>
      <w:tr w:rsidR="00B24DAD">
        <w:trPr>
          <w:trHeight w:val="100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4</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1、燃油箱及油管                 2、燃油滤清器                   3、燃油泵</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①检查接头及密封情况       ②清洁燃油滤清器，并视情况更换                        ③检查燃油泵，必要时更换</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①接头无破损、渗漏、紧固可靠                   ②燃油滤清器工作正常             ③燃油泵工作正常，油压符合规定</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5</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燃油蒸发控制装置</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检查清洁，必要时更换</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工作正常</w:t>
            </w:r>
          </w:p>
        </w:tc>
      </w:tr>
      <w:tr w:rsidR="00B24DAD">
        <w:trPr>
          <w:trHeight w:val="78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6</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曲轴箱通风装置</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检查清洁，必要时更换</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清洁畅通，连接可靠，不漏气，各阀门无堵塞、卡滞现象，灵敏可靠，符合规定</w:t>
            </w:r>
          </w:p>
        </w:tc>
      </w:tr>
      <w:tr w:rsidR="00B24DAD">
        <w:trPr>
          <w:trHeight w:val="181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7</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散热器、膨胀箱、百叶窗、水泵、节温器、传动皮带</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①检查密封情况、箱盖压力阀、液面高度、水泵            ②检视皮带外观，调整皮带松紧度</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①散热器及软管无变形、破损及渗漏；箱盖接合表面良好，胶垫不老化，箱盖压力阀开启压力符合要求；水泵不漏水，无异响；节温器工作性能符合规定                             ②皮带应无裂痕和过量磨损，表面无油污，皮带松紧度符合规定</w:t>
            </w:r>
          </w:p>
        </w:tc>
      </w:tr>
      <w:tr w:rsidR="00B24DAD">
        <w:trPr>
          <w:trHeight w:val="100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8</w:t>
            </w:r>
          </w:p>
        </w:tc>
        <w:tc>
          <w:tcPr>
            <w:tcW w:w="2109" w:type="dxa"/>
            <w:tcBorders>
              <w:top w:val="nil"/>
              <w:left w:val="nil"/>
              <w:bottom w:val="single" w:sz="4" w:space="0" w:color="auto"/>
              <w:right w:val="single" w:sz="4" w:space="0" w:color="auto"/>
            </w:tcBorders>
            <w:shd w:val="clear" w:color="auto" w:fill="auto"/>
            <w:vAlign w:val="bottom"/>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1、进、排气岐管、消声器、排               气管                           2、气缸盖</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①检查、紧固，视情况补焊或更换                        ②按规定次序和扭紧力矩校紧气缸盖</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①无裂纹、无漏气，消声器性能良好</w:t>
            </w:r>
            <w:r>
              <w:rPr>
                <w:rFonts w:ascii="Times New Roman" w:eastAsia="宋体" w:hAnsi="Times New Roman" w:cs="Times New Roman"/>
                <w:kern w:val="0"/>
                <w:sz w:val="20"/>
                <w:szCs w:val="20"/>
              </w:rPr>
              <w:t xml:space="preserve">                                                   </w:t>
            </w:r>
            <w:r>
              <w:rPr>
                <w:rFonts w:ascii="宋体" w:eastAsia="宋体" w:hAnsi="宋体" w:cs="宋体" w:hint="eastAsia"/>
                <w:kern w:val="0"/>
                <w:sz w:val="20"/>
                <w:szCs w:val="20"/>
              </w:rPr>
              <w:t>②扭紧力矩符合规定</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9</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增压器、中冷器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检查、清洁</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10</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发动机支架</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检查、清洁</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连接牢固，无变形和裂纹</w:t>
            </w:r>
          </w:p>
        </w:tc>
      </w:tr>
      <w:tr w:rsidR="00B24DAD">
        <w:trPr>
          <w:trHeight w:val="76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11</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化油器及联动机构</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清洁、检查、紧固</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清洁，联动机构运动灵活，连接牢固，无漏油、气现象，工作系统和附加装置工作正常</w:t>
            </w:r>
          </w:p>
        </w:tc>
      </w:tr>
      <w:tr w:rsidR="00B24DAD">
        <w:trPr>
          <w:trHeight w:val="75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12</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喷油器、喷油泵</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检查喷油器和喷油泵的作用，必要时检测喷油压力和喷油状况，视情况调整供油提前角</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①喷油器雾化良好、无滴油、漏油现象，喷油压力符合规定          ②供油提前角符合规定</w:t>
            </w:r>
          </w:p>
        </w:tc>
      </w:tr>
      <w:tr w:rsidR="00B24DAD">
        <w:trPr>
          <w:trHeight w:val="78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13</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分电器、高压线</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分电器无油污，调整触点间隙在规定范围内，无松旷、漏电现象，高压线性能符合规定</w:t>
            </w:r>
          </w:p>
        </w:tc>
      </w:tr>
      <w:tr w:rsidR="00B24DAD">
        <w:trPr>
          <w:trHeight w:val="54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14</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火花塞</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检查、清洁或更换火花塞，调整电极间隙</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电极表面清洁，间隙符合规定</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气门间隙</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检查、调整</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16</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电控燃油喷射系统供油管路</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检查密封状况</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密封良好，作用正常</w:t>
            </w:r>
          </w:p>
        </w:tc>
      </w:tr>
      <w:tr w:rsidR="00B24DAD">
        <w:trPr>
          <w:trHeight w:val="540"/>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17</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三效催化装置</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检查三效催化装置的作用，必要时更换</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作用正常</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18</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离合器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检查调整离合器踏板自由行程</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离合器踏板自由行程符合规定</w:t>
            </w:r>
          </w:p>
        </w:tc>
      </w:tr>
      <w:tr w:rsidR="00B24DAD">
        <w:trPr>
          <w:trHeight w:val="480"/>
        </w:trPr>
        <w:tc>
          <w:tcPr>
            <w:tcW w:w="687" w:type="dxa"/>
            <w:gridSpan w:val="2"/>
            <w:vMerge w:val="restart"/>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19</w:t>
            </w:r>
          </w:p>
        </w:tc>
        <w:tc>
          <w:tcPr>
            <w:tcW w:w="2109" w:type="dxa"/>
            <w:vMerge w:val="restart"/>
            <w:tcBorders>
              <w:top w:val="nil"/>
              <w:left w:val="single" w:sz="4" w:space="0" w:color="auto"/>
              <w:bottom w:val="single" w:sz="4" w:space="0" w:color="000000"/>
              <w:right w:val="single" w:sz="4" w:space="0" w:color="auto"/>
            </w:tcBorders>
            <w:shd w:val="clear" w:color="auto" w:fill="auto"/>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前轮制动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1、检查前轮制动器调整臂的作用</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作用正常</w:t>
            </w:r>
          </w:p>
        </w:tc>
      </w:tr>
      <w:tr w:rsidR="00B24DAD">
        <w:trPr>
          <w:trHeight w:val="795"/>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2、拆卸前轮毂总成、制动蹄、支承销清洗转向节、轴承、支承销，清洁制动底板等零件</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清洁，无油污</w:t>
            </w:r>
          </w:p>
        </w:tc>
      </w:tr>
      <w:tr w:rsidR="00B24DAD">
        <w:trPr>
          <w:trHeight w:val="102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3、检查制动盘、制动凸轮轴，校紧装置螺栓</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1、制动底板不变形，按规定力矩扭紧装置螺栓                             2、凸轮轴转动灵活，无卡滞，转向间隙符合规定</w:t>
            </w:r>
          </w:p>
        </w:tc>
      </w:tr>
      <w:tr w:rsidR="00B24DAD">
        <w:trPr>
          <w:trHeight w:val="1485"/>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4、检查转向节及螺母、保险片及油封转向节臂，校紧装置螺栓</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1、转向节无裂纹，螺纹完好，与螺母配合应无径向松旷，保险片作用良好，油封完好不漏油                         2、转向节轴径与轴承的配合间隙符合要求，转向节臂装置螺栓扭紧力矩符合规定</w:t>
            </w:r>
          </w:p>
        </w:tc>
      </w:tr>
      <w:tr w:rsidR="00B24DAD">
        <w:trPr>
          <w:trHeight w:val="72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5、检查内外轴承</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轴承保持架无裂纹，滚柱不脱落，无裂损和烧蚀，轴承内圈无裂损和烧蚀</w:t>
            </w:r>
          </w:p>
        </w:tc>
      </w:tr>
      <w:tr w:rsidR="00B24DAD">
        <w:trPr>
          <w:trHeight w:val="1455"/>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6、检查制动蹄及支承销</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1、制动蹄无裂纹及明显变形，磨擦片不破裂，铆接可靠，磨擦片厚度符合规定                              2、支承销无过量磨损，支承销与制动蹄支承孔衬套配合间隙符合规定</w:t>
            </w:r>
          </w:p>
        </w:tc>
      </w:tr>
      <w:tr w:rsidR="00B24DAD">
        <w:trPr>
          <w:trHeight w:val="48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7、检查制动蹄复位弹簧</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复位弹簧应无明显变形，自由长度，拉力符合规定</w:t>
            </w:r>
          </w:p>
        </w:tc>
      </w:tr>
      <w:tr w:rsidR="00B24DAD">
        <w:trPr>
          <w:trHeight w:val="192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8、检查前轮毂、制动鼓及轴承外座圈，校紧轮胎螺栓内螺母</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1、轮毂无裂损                    2、轴承外座圈无裂纹、无麻点，无烧蚀                               3、制动鼓无裂纹，外边缘不得高出工作表面，检视孔完整，内径尺寸差符合规定                          4、轮胎螺栓齐全完好，规格一致，按规定力矩扭紧</w:t>
            </w:r>
          </w:p>
        </w:tc>
      </w:tr>
      <w:tr w:rsidR="00B24DAD">
        <w:trPr>
          <w:trHeight w:val="3615"/>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9、装复前轮毂、调整前轮轴承松紧度及制动间隙</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1、装复支承销，制动蹄支承销孔均应涂润滑脂，开口销或卡簧齐全有效                     2、润滑轴承                      3、制动鼓、制动片表面清洁，无油污                         4、制动片与制动鼓的间隙应符合规定，转动无碰擦现象或异响，检视孔挡板齐全                          5、轮鼓转动灵活，用拉力计测量时可转动，且无轴向间隙                6、锁紧螺母按规定力矩扭紧        7、保险可靠，防尘罩、衬垫完好，螺栓垫圈齐全紧固（螺栓规格一致）</w:t>
            </w:r>
          </w:p>
        </w:tc>
      </w:tr>
      <w:tr w:rsidR="00B24DAD">
        <w:trPr>
          <w:trHeight w:val="765"/>
        </w:trPr>
        <w:tc>
          <w:tcPr>
            <w:tcW w:w="687" w:type="dxa"/>
            <w:gridSpan w:val="2"/>
            <w:vMerge w:val="restart"/>
            <w:tcBorders>
              <w:top w:val="nil"/>
              <w:left w:val="single" w:sz="4" w:space="0" w:color="auto"/>
              <w:bottom w:val="single" w:sz="4" w:space="0" w:color="auto"/>
              <w:right w:val="single" w:sz="4" w:space="0" w:color="auto"/>
            </w:tcBorders>
            <w:shd w:val="clear" w:color="auto" w:fill="auto"/>
            <w:noWrap/>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20</w:t>
            </w:r>
          </w:p>
        </w:tc>
        <w:tc>
          <w:tcPr>
            <w:tcW w:w="2109" w:type="dxa"/>
            <w:vMerge w:val="restart"/>
            <w:tcBorders>
              <w:top w:val="nil"/>
              <w:left w:val="single" w:sz="4" w:space="0" w:color="auto"/>
              <w:bottom w:val="single" w:sz="4" w:space="0" w:color="000000"/>
              <w:right w:val="single" w:sz="4" w:space="0" w:color="auto"/>
            </w:tcBorders>
            <w:shd w:val="clear" w:color="auto" w:fill="auto"/>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后轮制动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1、拆半轴、轮毂总成、制动蹄、支承销，清洗各零件及制动底板、半轴套管</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1、轮毂通气孔畅通               2、各零件及制动盘，后桥套管清洁无油污</w:t>
            </w:r>
          </w:p>
        </w:tc>
      </w:tr>
      <w:tr w:rsidR="00B24DAD">
        <w:trPr>
          <w:trHeight w:val="96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2、检查制动底板、制动凸轮轴，校紧连接螺栓</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1、制动底板不变形，连接螺栓按规定力矩紧固                        2、凸轮轴转动灵活，无卡滞，转向间隙和每径向间隙符合规定</w:t>
            </w:r>
          </w:p>
        </w:tc>
      </w:tr>
      <w:tr w:rsidR="00B24DAD">
        <w:trPr>
          <w:trHeight w:val="120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3、检查后桥半轴套管、螺母及油封</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1、套管无裂纹及明显松动，与螺母配合无径向松旷                    2、油封完好，无损坏，无漏油       3、套管颈与轴承配合间隙符合规定</w:t>
            </w:r>
          </w:p>
        </w:tc>
      </w:tr>
      <w:tr w:rsidR="00B24DAD">
        <w:trPr>
          <w:trHeight w:val="75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4、检查内外轴承</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1、轴承保持架无断裂，滚柱不脱落，无裂损和烧蚀                    2、轴承内圈无裂纹、烧蚀</w:t>
            </w:r>
          </w:p>
        </w:tc>
      </w:tr>
      <w:tr w:rsidR="00B24DAD">
        <w:trPr>
          <w:trHeight w:val="144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5、检查制动蹄及支承销</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1、制动蹄无裂纹及明显变形，磨擦片不破裂，铆接可靠，磨擦片厚度符合规定                         2、支承销与制动蹄支承孔衬套配合间隙符合规定                      3、支承销无过量磨损</w:t>
            </w:r>
          </w:p>
        </w:tc>
      </w:tr>
      <w:tr w:rsidR="00B24DAD">
        <w:trPr>
          <w:trHeight w:val="48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6、检查制动蹄复位弹簧</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复位弹簧应无变形，自由长度符合规定，拉力良好</w:t>
            </w:r>
          </w:p>
        </w:tc>
      </w:tr>
      <w:tr w:rsidR="00B24DAD">
        <w:trPr>
          <w:trHeight w:val="171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7、检查后轮毂、制动鼓及轴承外座圈，检查扭紧半轴螺栓，检查轮胎螺栓，校紧内螺母</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1、轮毂无裂损                   2、轴承外座圈不松动，无损坏                   3、制动鼓无裂纹，内径、圆度误差、左右内径符合规定，外边缘不得高出工作表面，制动鼓检视孔完整                     4、半轴螺栓齐全有效</w:t>
            </w:r>
          </w:p>
        </w:tc>
      </w:tr>
      <w:tr w:rsidR="00B24DAD">
        <w:trPr>
          <w:trHeight w:val="525"/>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8、检查半轴</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半轴无明显弯曲，不磨套管，无裂纹花键无过量磨损或扭曲变形</w:t>
            </w:r>
          </w:p>
        </w:tc>
      </w:tr>
      <w:tr w:rsidR="00B24DAD">
        <w:trPr>
          <w:trHeight w:val="3390"/>
        </w:trPr>
        <w:tc>
          <w:tcPr>
            <w:tcW w:w="687" w:type="dxa"/>
            <w:gridSpan w:val="2"/>
            <w:vMerge/>
            <w:tcBorders>
              <w:top w:val="nil"/>
              <w:left w:val="single" w:sz="4" w:space="0" w:color="auto"/>
              <w:bottom w:val="single" w:sz="4" w:space="0" w:color="auto"/>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9、装复后轮毂，调整制动间隙</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1、装复支承销，制动蹄片时，承孔均应涂润滑脂，开口销或卡簧齐全可靠                              2、润滑轴承                     3、套管轴颈表面应涂机油后再装上轴承                             4、制动蹄片、制动鼓表面应清洁，无油污                           5、制动蹄片与制动鼓的间隙应符合规定，转动无碰擦现象或异响，检视孔挡板齐全紧固                    6、轮毂转动灵活，拉力符合规定                          7、锁紧螺母按规定力矩扭紧</w:t>
            </w:r>
          </w:p>
        </w:tc>
      </w:tr>
      <w:tr w:rsidR="00B24DAD">
        <w:trPr>
          <w:trHeight w:val="99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21</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转向器、转向传动机构</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1、检查转向器传动机构的工作状况和密封性，校紧各部螺栓      2、检查调节器转向盘自由转动量</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转向盘自由转动量符合规定，转向轻便、灵活，无卡滞和漏油现象，垂臂及转向节臂无弯曲及裂损，各部螺栓连接可靠</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22</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前束及转向角</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调整</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78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23</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变速器、差速器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检查密封状况和操纵机构，清洁通气孔</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密封良好，通气孔畅通，操纵机构作用正常，无异响、跳动、乱档现象</w:t>
            </w:r>
          </w:p>
        </w:tc>
      </w:tr>
      <w:tr w:rsidR="00B24DAD">
        <w:trPr>
          <w:trHeight w:val="1455"/>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24</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传动轴、传动轴承支架、中间轴承</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1、检查防尘罩                2、检查传动轴方向节工作状态            3、检查传动轴支架             4、检查中间轴承间隙</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1、防尘罩不得有裂纹、损坏，卡箍可靠，支架无松动                2、方向节不松旷，无卡滞，无异响                          3、传动轴承支架无松动        4、中间轴承间隙符合规定</w:t>
            </w:r>
          </w:p>
        </w:tc>
      </w:tr>
      <w:tr w:rsidR="00B24DAD">
        <w:trPr>
          <w:trHeight w:val="51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25</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空气压缩机、贮气简、安全阀</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清洁，校紧</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清洁、连接可靠，无漏气，安全阀工作正常</w:t>
            </w:r>
          </w:p>
        </w:tc>
      </w:tr>
      <w:tr w:rsidR="00B24DAD">
        <w:trPr>
          <w:trHeight w:val="975"/>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26</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制动阀、制动管路、制动踏板</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1、检查制动踏板自由行程       2、检查紧固制动阀和管路接头    3、液压制动检查制动管路内是否有气</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1、制动踏板自由行程符合规定               2、制动阀和管路接头连接可靠，无漏气                        3、液压制动管路无气</w:t>
            </w:r>
          </w:p>
        </w:tc>
      </w:tr>
      <w:tr w:rsidR="00B24DAD">
        <w:trPr>
          <w:trHeight w:val="51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27</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驻车制动</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检查驻车制动性能，检查驻车制器自由行程</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符合规定，作用正常</w:t>
            </w:r>
          </w:p>
        </w:tc>
      </w:tr>
      <w:tr w:rsidR="00B24DAD">
        <w:trPr>
          <w:trHeight w:val="51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28</w:t>
            </w:r>
          </w:p>
        </w:tc>
        <w:tc>
          <w:tcPr>
            <w:tcW w:w="2109" w:type="dxa"/>
            <w:tcBorders>
              <w:top w:val="nil"/>
              <w:left w:val="nil"/>
              <w:bottom w:val="single" w:sz="4" w:space="0" w:color="auto"/>
              <w:right w:val="single" w:sz="4" w:space="0" w:color="auto"/>
            </w:tcBorders>
            <w:shd w:val="clear" w:color="auto" w:fill="auto"/>
            <w:vAlign w:val="bottom"/>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悬架</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检查、紧固、视情况补焊、校正</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不松动，无裂纹，无断片，按规定扭紧力矩，紧固螺栓</w:t>
            </w:r>
          </w:p>
        </w:tc>
      </w:tr>
      <w:tr w:rsidR="00B24DAD">
        <w:trPr>
          <w:trHeight w:val="765"/>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29</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轮胎（包括备胎）</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检查紧固，补气，进行轮胎换位，磨损严重时更换轮胎</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气压符合规定，清洁，无裂损、老化、变形，气门嘴完好，轮胎螺栓紧固，轮胎的装用符合规定</w:t>
            </w:r>
          </w:p>
        </w:tc>
      </w:tr>
      <w:tr w:rsidR="00B24DAD">
        <w:trPr>
          <w:trHeight w:val="300"/>
        </w:trPr>
        <w:tc>
          <w:tcPr>
            <w:tcW w:w="687" w:type="dxa"/>
            <w:gridSpan w:val="2"/>
            <w:vMerge w:val="restart"/>
            <w:tcBorders>
              <w:top w:val="nil"/>
              <w:left w:val="single" w:sz="4" w:space="0" w:color="auto"/>
              <w:bottom w:val="single" w:sz="4" w:space="0" w:color="000000"/>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30</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发电机、发电机调节器、起动机</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清洁，润滑</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符合规定</w:t>
            </w:r>
          </w:p>
        </w:tc>
      </w:tr>
      <w:tr w:rsidR="00B24DAD">
        <w:trPr>
          <w:trHeight w:val="525"/>
        </w:trPr>
        <w:tc>
          <w:tcPr>
            <w:tcW w:w="687" w:type="dxa"/>
            <w:gridSpan w:val="2"/>
            <w:vMerge/>
            <w:tcBorders>
              <w:top w:val="nil"/>
              <w:left w:val="single" w:sz="4" w:space="0" w:color="auto"/>
              <w:bottom w:val="single" w:sz="4" w:space="0" w:color="000000"/>
              <w:right w:val="single" w:sz="4" w:space="0" w:color="auto"/>
            </w:tcBorders>
            <w:vAlign w:val="center"/>
          </w:tcPr>
          <w:p w:rsidR="00B24DAD" w:rsidRDefault="00B24DAD">
            <w:pPr>
              <w:widowControl/>
              <w:jc w:val="left"/>
              <w:rPr>
                <w:rFonts w:ascii="宋体" w:eastAsia="宋体" w:hAnsi="宋体" w:cs="宋体"/>
                <w:kern w:val="0"/>
                <w:sz w:val="20"/>
                <w:szCs w:val="20"/>
              </w:rPr>
            </w:pP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蓄电池</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清洁，补给，检查</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清洁，安装牢固，电解液液面符合规定</w:t>
            </w:r>
          </w:p>
        </w:tc>
      </w:tr>
      <w:tr w:rsidR="00B24DAD">
        <w:trPr>
          <w:trHeight w:val="147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31</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前照灯、仪表、喇叭、刮水器，全车电器线路</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检查、调整，必要时修理或更换</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1、前照灯、喇叭、各仪表及信号装置功能齐全有效，符合规定   2、刮水器电机转动无异响，连动杆连接可靠                   3、全车线路整齐，连接可靠，绝缘良好</w:t>
            </w:r>
          </w:p>
        </w:tc>
      </w:tr>
      <w:tr w:rsidR="00B24DAD">
        <w:trPr>
          <w:trHeight w:val="75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32</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车身、车架、安全带</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检查、紧固</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性能可靠，工作良好，无变形、断裂、脱焊，连接螺栓，铆钉紧固</w:t>
            </w:r>
          </w:p>
        </w:tc>
      </w:tr>
      <w:tr w:rsidR="00B24DAD">
        <w:trPr>
          <w:trHeight w:val="285"/>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33</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内装饰</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检查、紧固</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设备完好，无松动</w:t>
            </w:r>
          </w:p>
        </w:tc>
      </w:tr>
      <w:tr w:rsidR="00B24DAD">
        <w:trPr>
          <w:trHeight w:val="750"/>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34</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空调装置</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检查空调系统工作状况、密封状况</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1、制冷系统密封，制冷效果良好                          2、暖气装置工作正常</w:t>
            </w:r>
          </w:p>
        </w:tc>
      </w:tr>
      <w:tr w:rsidR="00B24DAD">
        <w:trPr>
          <w:trHeight w:val="525"/>
        </w:trPr>
        <w:tc>
          <w:tcPr>
            <w:tcW w:w="687" w:type="dxa"/>
            <w:gridSpan w:val="2"/>
            <w:tcBorders>
              <w:top w:val="nil"/>
              <w:left w:val="single" w:sz="4" w:space="0" w:color="auto"/>
              <w:bottom w:val="single" w:sz="4" w:space="0" w:color="auto"/>
              <w:right w:val="single" w:sz="4" w:space="0" w:color="auto"/>
            </w:tcBorders>
            <w:shd w:val="clear" w:color="auto" w:fill="auto"/>
            <w:noWrap/>
            <w:vAlign w:val="center"/>
          </w:tcPr>
          <w:p w:rsidR="00B24DAD" w:rsidRDefault="00BB53E2">
            <w:pPr>
              <w:widowControl/>
              <w:jc w:val="center"/>
              <w:rPr>
                <w:rFonts w:ascii="宋体" w:eastAsia="宋体" w:hAnsi="宋体" w:cs="宋体"/>
                <w:kern w:val="0"/>
                <w:sz w:val="20"/>
                <w:szCs w:val="20"/>
              </w:rPr>
            </w:pPr>
            <w:r>
              <w:rPr>
                <w:rFonts w:ascii="宋体" w:eastAsia="宋体" w:hAnsi="宋体" w:cs="宋体" w:hint="eastAsia"/>
                <w:kern w:val="0"/>
                <w:sz w:val="20"/>
                <w:szCs w:val="20"/>
              </w:rPr>
              <w:t>35</w:t>
            </w:r>
          </w:p>
        </w:tc>
        <w:tc>
          <w:tcPr>
            <w:tcW w:w="2109"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润滑</w:t>
            </w:r>
          </w:p>
        </w:tc>
        <w:tc>
          <w:tcPr>
            <w:tcW w:w="2310"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全车加注润滑脂的部位全部润滑</w:t>
            </w:r>
          </w:p>
        </w:tc>
        <w:tc>
          <w:tcPr>
            <w:tcW w:w="3225" w:type="dxa"/>
            <w:tcBorders>
              <w:top w:val="nil"/>
              <w:left w:val="nil"/>
              <w:bottom w:val="single" w:sz="4" w:space="0" w:color="auto"/>
              <w:right w:val="single" w:sz="4" w:space="0" w:color="auto"/>
            </w:tcBorders>
            <w:shd w:val="clear" w:color="auto" w:fill="auto"/>
            <w:vAlign w:val="center"/>
          </w:tcPr>
          <w:p w:rsidR="00B24DAD" w:rsidRDefault="00BB53E2">
            <w:pPr>
              <w:widowControl/>
              <w:jc w:val="left"/>
              <w:rPr>
                <w:rFonts w:ascii="宋体" w:eastAsia="宋体" w:hAnsi="宋体" w:cs="宋体"/>
                <w:kern w:val="0"/>
                <w:sz w:val="20"/>
                <w:szCs w:val="20"/>
              </w:rPr>
            </w:pPr>
            <w:r>
              <w:rPr>
                <w:rFonts w:ascii="宋体" w:eastAsia="宋体" w:hAnsi="宋体" w:cs="宋体" w:hint="eastAsia"/>
                <w:kern w:val="0"/>
                <w:sz w:val="20"/>
                <w:szCs w:val="20"/>
              </w:rPr>
              <w:t>润滑脂嘴齐全有效，润滑良好</w:t>
            </w:r>
          </w:p>
        </w:tc>
      </w:tr>
    </w:tbl>
    <w:p w:rsidR="00B24DAD" w:rsidRDefault="00BB53E2">
      <w:pPr>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四、服务团队，包括项目负责人资质经验、项目团队成员数量结构和资质经验等</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彩虹粗仿宋" w:cs="彩虹粗仿宋" w:hint="eastAsia"/>
          <w:sz w:val="32"/>
          <w:szCs w:val="32"/>
        </w:rPr>
        <w:t>行业主管部门审验合格的二类及以上汽车维修企业</w:t>
      </w:r>
    </w:p>
    <w:p w:rsidR="00B24DAD" w:rsidRDefault="00BB53E2">
      <w:pPr>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五、服务质量要求，包括项目进度计划安排、方案与需求的契合度、对项目理解情况、服务质量保证措施、应急方案、信息保密、增值服务、服务结果验收标准等。</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hint="eastAsia"/>
          <w:sz w:val="32"/>
          <w:szCs w:val="32"/>
        </w:rPr>
        <w:t>因车辆维修服务具有不确定性、突发性的特点，要求供应商提供24小时服务，遇故障施救响应时间需在30分钟以内，维修人员技术过硬、经验丰富、态度良好。</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黑体" w:eastAsia="彩虹黑体" w:hAnsi="彩虹黑体" w:cs="彩虹黑体" w:hint="eastAsia"/>
          <w:snapToGrid w:val="0"/>
          <w:kern w:val="0"/>
          <w:sz w:val="32"/>
          <w:szCs w:val="32"/>
        </w:rPr>
        <w:t>六、服务数量要求，包括采购服务数量及在各使用机构拟分配数量等</w:t>
      </w:r>
      <w:r>
        <w:rPr>
          <w:rFonts w:ascii="彩虹粗仿宋" w:eastAsia="彩虹粗仿宋" w:hAnsi="宋体" w:cs="Times New Roman" w:hint="eastAsia"/>
          <w:snapToGrid w:val="0"/>
          <w:kern w:val="0"/>
          <w:sz w:val="32"/>
          <w:szCs w:val="32"/>
        </w:rPr>
        <w:t>。</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hint="eastAsia"/>
          <w:sz w:val="32"/>
          <w:szCs w:val="32"/>
        </w:rPr>
        <w:t>车辆维修服务具有不确定性、突发性的特点，据实安排维修。</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黑体" w:eastAsia="彩虹黑体" w:hAnsi="彩虹黑体" w:cs="彩虹黑体" w:hint="eastAsia"/>
          <w:snapToGrid w:val="0"/>
          <w:kern w:val="0"/>
          <w:sz w:val="32"/>
          <w:szCs w:val="32"/>
        </w:rPr>
        <w:t>七、服务供应安排，包括时间要求、地点要求、服务过程中产生的费用问题及处理意见</w:t>
      </w:r>
      <w:r>
        <w:rPr>
          <w:rFonts w:ascii="彩虹粗仿宋" w:eastAsia="彩虹粗仿宋" w:hAnsi="宋体" w:cs="Times New Roman" w:hint="eastAsia"/>
          <w:snapToGrid w:val="0"/>
          <w:kern w:val="0"/>
          <w:sz w:val="32"/>
          <w:szCs w:val="32"/>
        </w:rPr>
        <w:t>。</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供应商保证按规定的时间维修、保养好采购方送修的车辆，保证维修质量。维修后质保期内如因维修质量问题，造成采购方车辆不能正常行驶或发生责任事故，供应商若</w:t>
      </w:r>
      <w:r>
        <w:rPr>
          <w:rFonts w:ascii="彩虹粗仿宋" w:eastAsia="彩虹粗仿宋" w:hAnsi="宋体" w:cs="Times New Roman" w:hint="eastAsia"/>
          <w:snapToGrid w:val="0"/>
          <w:kern w:val="0"/>
          <w:sz w:val="32"/>
          <w:szCs w:val="32"/>
        </w:rPr>
        <w:lastRenderedPageBreak/>
        <w:t>不能提供因非维修原因而造成车辆无法使用的相关证据的，供应商应及时无偿返修和赔偿损失。</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黑体" w:eastAsia="彩虹黑体" w:hAnsi="彩虹黑体" w:cs="彩虹黑体" w:hint="eastAsia"/>
          <w:snapToGrid w:val="0"/>
          <w:kern w:val="0"/>
          <w:sz w:val="32"/>
          <w:szCs w:val="32"/>
        </w:rPr>
        <w:t>八、款项支付要求，包括分期付款要求、付款方式</w:t>
      </w:r>
      <w:r>
        <w:rPr>
          <w:rFonts w:ascii="彩虹粗仿宋" w:eastAsia="彩虹粗仿宋" w:hAnsi="宋体" w:cs="Times New Roman" w:hint="eastAsia"/>
          <w:snapToGrid w:val="0"/>
          <w:kern w:val="0"/>
          <w:sz w:val="32"/>
          <w:szCs w:val="32"/>
        </w:rPr>
        <w:t>。</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hint="eastAsia"/>
          <w:sz w:val="32"/>
          <w:szCs w:val="32"/>
        </w:rPr>
        <w:t>实际发生的车辆维修费用将根据集采确定的《项目清单》单价和实际维修项目进行结算，维修费用按季度结算，供应商应提供符合国家规定的增值税专用发票。</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黑体" w:eastAsia="彩虹黑体" w:hAnsi="彩虹黑体" w:cs="彩虹黑体" w:hint="eastAsia"/>
          <w:snapToGrid w:val="0"/>
          <w:kern w:val="0"/>
          <w:sz w:val="32"/>
          <w:szCs w:val="32"/>
        </w:rPr>
        <w:t>九、售后服务要求</w:t>
      </w:r>
      <w:r>
        <w:rPr>
          <w:rFonts w:ascii="彩虹粗仿宋" w:eastAsia="彩虹粗仿宋" w:hAnsi="宋体" w:cs="Times New Roman" w:hint="eastAsia"/>
          <w:snapToGrid w:val="0"/>
          <w:kern w:val="0"/>
          <w:sz w:val="32"/>
          <w:szCs w:val="32"/>
        </w:rPr>
        <w:t>。</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 xml:space="preserve">质量要求、技术标准及质量保证期限：自竣工出厂之日起；          </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（一）一级维护：小修及零件修理保证期为汽车行驶2000公里或20日</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（二）二级维护：质量保证期为汽车行驶5000公里或者30日</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（三）整车修理或者总成修理保证期为汽车行驶20000公里或100日；</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质量保证期中行驶里程和日期指标，以先到达者为准；</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黑体" w:eastAsia="彩虹黑体" w:hAnsi="彩虹黑体" w:cs="彩虹黑体" w:hint="eastAsia"/>
          <w:snapToGrid w:val="0"/>
          <w:kern w:val="0"/>
          <w:sz w:val="32"/>
          <w:szCs w:val="32"/>
        </w:rPr>
        <w:t>十、报价要求</w:t>
      </w:r>
      <w:r>
        <w:rPr>
          <w:rFonts w:ascii="彩虹粗仿宋" w:eastAsia="彩虹粗仿宋" w:hAnsi="宋体" w:cs="Times New Roman" w:hint="eastAsia"/>
          <w:snapToGrid w:val="0"/>
          <w:kern w:val="0"/>
          <w:sz w:val="32"/>
          <w:szCs w:val="32"/>
        </w:rPr>
        <w:t>。</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候选供应商必须要按照我行统一编制的报价表格式中所有的明细项目进行编制，不得有缺项，否则该应邀谈判文件作废处理。报价为</w:t>
      </w:r>
      <w:r>
        <w:rPr>
          <w:rFonts w:ascii="彩虹粗仿宋" w:eastAsia="彩虹粗仿宋" w:hAnsi="宋体" w:cs="Times New Roman"/>
          <w:snapToGrid w:val="0"/>
          <w:kern w:val="0"/>
          <w:sz w:val="32"/>
          <w:szCs w:val="32"/>
        </w:rPr>
        <w:t>零</w:t>
      </w:r>
      <w:r>
        <w:rPr>
          <w:rFonts w:ascii="彩虹粗仿宋" w:eastAsia="彩虹粗仿宋" w:hAnsi="宋体" w:cs="Times New Roman" w:hint="eastAsia"/>
          <w:snapToGrid w:val="0"/>
          <w:kern w:val="0"/>
          <w:sz w:val="32"/>
          <w:szCs w:val="32"/>
        </w:rPr>
        <w:t>视同该</w:t>
      </w:r>
      <w:r>
        <w:rPr>
          <w:rFonts w:ascii="彩虹粗仿宋" w:eastAsia="彩虹粗仿宋" w:hAnsi="宋体" w:cs="Times New Roman"/>
          <w:snapToGrid w:val="0"/>
          <w:kern w:val="0"/>
          <w:sz w:val="32"/>
          <w:szCs w:val="32"/>
        </w:rPr>
        <w:t>项服务</w:t>
      </w:r>
      <w:r>
        <w:rPr>
          <w:rFonts w:ascii="彩虹粗仿宋" w:eastAsia="彩虹粗仿宋" w:hAnsi="宋体" w:cs="Times New Roman" w:hint="eastAsia"/>
          <w:snapToGrid w:val="0"/>
          <w:kern w:val="0"/>
          <w:sz w:val="32"/>
          <w:szCs w:val="32"/>
        </w:rPr>
        <w:t>免费。</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首次报价(第一轮报价--编辑系统《报价单》）。同时附上报价表的EXCEL电子版(名称注明：一次报价)</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现场谈判后，采购方发起第二轮报价--供应商编辑系统《报价单》）。同时附上报价表的EXCEL电子版(名称注明：二次报价)，系统以此次报价为定价。</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黑体" w:eastAsia="彩虹黑体" w:hAnsi="彩虹黑体" w:cs="彩虹黑体" w:hint="eastAsia"/>
          <w:snapToGrid w:val="0"/>
          <w:kern w:val="0"/>
          <w:sz w:val="32"/>
          <w:szCs w:val="32"/>
        </w:rPr>
        <w:t>十一、其他要求</w:t>
      </w:r>
      <w:r>
        <w:rPr>
          <w:rFonts w:ascii="彩虹粗仿宋" w:eastAsia="彩虹粗仿宋" w:hAnsi="宋体" w:cs="Times New Roman" w:hint="eastAsia"/>
          <w:snapToGrid w:val="0"/>
          <w:kern w:val="0"/>
          <w:sz w:val="32"/>
          <w:szCs w:val="32"/>
        </w:rPr>
        <w:t>。</w:t>
      </w:r>
    </w:p>
    <w:p w:rsidR="00B24DAD" w:rsidRDefault="00BB53E2">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无</w:t>
      </w:r>
    </w:p>
    <w:p w:rsidR="00B24DAD" w:rsidRDefault="00B24DAD"/>
    <w:sectPr w:rsidR="00B24D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2A75" w:rsidRDefault="003C2A75" w:rsidP="00D5752D">
      <w:r>
        <w:separator/>
      </w:r>
    </w:p>
  </w:endnote>
  <w:endnote w:type="continuationSeparator" w:id="0">
    <w:p w:rsidR="003C2A75" w:rsidRDefault="003C2A75" w:rsidP="00D57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2A75" w:rsidRDefault="003C2A75" w:rsidP="00D5752D">
      <w:r>
        <w:separator/>
      </w:r>
    </w:p>
  </w:footnote>
  <w:footnote w:type="continuationSeparator" w:id="0">
    <w:p w:rsidR="003C2A75" w:rsidRDefault="003C2A75" w:rsidP="00D575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3C2A75"/>
    <w:rsid w:val="00643C1D"/>
    <w:rsid w:val="006A5ACC"/>
    <w:rsid w:val="00722402"/>
    <w:rsid w:val="007F39FF"/>
    <w:rsid w:val="00824500"/>
    <w:rsid w:val="00B24DAD"/>
    <w:rsid w:val="00BB53E2"/>
    <w:rsid w:val="00CE75D5"/>
    <w:rsid w:val="00D5752D"/>
    <w:rsid w:val="00E73CB9"/>
    <w:rsid w:val="2EBC1F97"/>
    <w:rsid w:val="2F093FB2"/>
    <w:rsid w:val="44AB144D"/>
    <w:rsid w:val="4B61046D"/>
    <w:rsid w:val="4CB7067C"/>
    <w:rsid w:val="690B6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7D2C2"/>
  <w15:docId w15:val="{2297176D-BA93-4E00-8269-34108B0C3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75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5752D"/>
    <w:rPr>
      <w:kern w:val="2"/>
      <w:sz w:val="18"/>
      <w:szCs w:val="18"/>
    </w:rPr>
  </w:style>
  <w:style w:type="paragraph" w:styleId="a5">
    <w:name w:val="footer"/>
    <w:basedOn w:val="a"/>
    <w:link w:val="a6"/>
    <w:uiPriority w:val="99"/>
    <w:unhideWhenUsed/>
    <w:rsid w:val="00D5752D"/>
    <w:pPr>
      <w:tabs>
        <w:tab w:val="center" w:pos="4153"/>
        <w:tab w:val="right" w:pos="8306"/>
      </w:tabs>
      <w:snapToGrid w:val="0"/>
      <w:jc w:val="left"/>
    </w:pPr>
    <w:rPr>
      <w:sz w:val="18"/>
      <w:szCs w:val="18"/>
    </w:rPr>
  </w:style>
  <w:style w:type="character" w:customStyle="1" w:styleId="a6">
    <w:name w:val="页脚 字符"/>
    <w:basedOn w:val="a0"/>
    <w:link w:val="a5"/>
    <w:uiPriority w:val="99"/>
    <w:rsid w:val="00D5752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1068</Words>
  <Characters>6089</Characters>
  <Application>Microsoft Office Word</Application>
  <DocSecurity>0</DocSecurity>
  <Lines>50</Lines>
  <Paragraphs>14</Paragraphs>
  <ScaleCrop>false</ScaleCrop>
  <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李守为</cp:lastModifiedBy>
  <cp:revision>7</cp:revision>
  <dcterms:created xsi:type="dcterms:W3CDTF">2024-07-12T02:38:00Z</dcterms:created>
  <dcterms:modified xsi:type="dcterms:W3CDTF">2024-07-12T08:22:00Z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ies>
</file>