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彩虹小标宋" w:eastAsia="彩虹小标宋"/>
          <w:sz w:val="44"/>
          <w:szCs w:val="44"/>
        </w:rPr>
      </w:pPr>
      <w:r>
        <w:rPr>
          <w:rFonts w:hint="eastAsia" w:ascii="彩虹小标宋" w:eastAsia="彩虹小标宋"/>
          <w:sz w:val="44"/>
          <w:szCs w:val="44"/>
        </w:rPr>
        <w:t>采购需求</w:t>
      </w:r>
    </w:p>
    <w:p>
      <w:pPr>
        <w:jc w:val="center"/>
        <w:rPr>
          <w:rFonts w:ascii="彩虹小标宋" w:eastAsia="彩虹小标宋"/>
          <w:sz w:val="44"/>
          <w:szCs w:val="44"/>
        </w:rPr>
      </w:pPr>
      <w:r>
        <w:rPr>
          <w:rFonts w:hint="eastAsia" w:ascii="彩虹小标宋" w:eastAsia="彩虹小标宋"/>
          <w:sz w:val="44"/>
          <w:szCs w:val="44"/>
        </w:rPr>
        <w:t xml:space="preserve"> </w:t>
      </w:r>
    </w:p>
    <w:p>
      <w:pPr>
        <w:spacing w:line="540" w:lineRule="exact"/>
        <w:ind w:firstLine="560" w:firstLineChars="200"/>
        <w:rPr>
          <w:rFonts w:ascii="彩虹粗仿宋" w:eastAsia="彩虹粗仿宋"/>
          <w:sz w:val="28"/>
          <w:szCs w:val="28"/>
        </w:rPr>
      </w:pPr>
      <w:r>
        <w:rPr>
          <w:rFonts w:hint="eastAsia" w:ascii="彩虹粗仿宋" w:eastAsia="彩虹粗仿宋"/>
          <w:sz w:val="28"/>
          <w:szCs w:val="28"/>
        </w:rPr>
        <w:t>一、供应商经营资质及相关要求</w:t>
      </w:r>
    </w:p>
    <w:p>
      <w:pPr>
        <w:spacing w:line="540" w:lineRule="exact"/>
        <w:ind w:firstLine="560" w:firstLineChars="200"/>
        <w:rPr>
          <w:rFonts w:ascii="彩虹粗仿宋" w:eastAsia="彩虹粗仿宋"/>
          <w:sz w:val="28"/>
          <w:szCs w:val="28"/>
        </w:rPr>
      </w:pPr>
      <w:r>
        <w:rPr>
          <w:rFonts w:hint="eastAsia" w:ascii="彩虹粗仿宋" w:eastAsia="彩虹粗仿宋"/>
          <w:sz w:val="28"/>
          <w:szCs w:val="28"/>
        </w:rPr>
        <w:t>1.供应商具有销售或生产相关产品的资质；</w:t>
      </w:r>
    </w:p>
    <w:p>
      <w:pPr>
        <w:spacing w:line="540" w:lineRule="exact"/>
        <w:ind w:firstLine="560" w:firstLineChars="200"/>
        <w:rPr>
          <w:rFonts w:ascii="彩虹粗仿宋" w:eastAsia="彩虹粗仿宋"/>
          <w:sz w:val="28"/>
          <w:szCs w:val="28"/>
        </w:rPr>
      </w:pPr>
      <w:r>
        <w:rPr>
          <w:rFonts w:hint="eastAsia" w:ascii="彩虹粗仿宋" w:eastAsia="彩虹粗仿宋"/>
          <w:sz w:val="28"/>
          <w:szCs w:val="28"/>
        </w:rPr>
        <w:t>2.供应商具有对企事业单位的供应能力及良好的商业信誉；</w:t>
      </w:r>
    </w:p>
    <w:p>
      <w:pPr>
        <w:spacing w:line="540" w:lineRule="exact"/>
        <w:ind w:firstLine="560" w:firstLineChars="200"/>
        <w:rPr>
          <w:rFonts w:ascii="彩虹粗仿宋" w:eastAsia="彩虹粗仿宋"/>
          <w:sz w:val="28"/>
          <w:szCs w:val="28"/>
        </w:rPr>
      </w:pPr>
      <w:r>
        <w:rPr>
          <w:rFonts w:hint="eastAsia" w:ascii="彩虹粗仿宋" w:eastAsia="彩虹粗仿宋"/>
          <w:sz w:val="28"/>
          <w:szCs w:val="28"/>
        </w:rPr>
        <w:t>3.供应商必须提供相关员工健康证明（复印件）。</w:t>
      </w:r>
    </w:p>
    <w:p>
      <w:pPr>
        <w:spacing w:line="540" w:lineRule="exact"/>
        <w:ind w:firstLine="560" w:firstLineChars="200"/>
        <w:rPr>
          <w:rFonts w:ascii="彩虹粗仿宋" w:eastAsia="彩虹粗仿宋"/>
          <w:sz w:val="28"/>
          <w:szCs w:val="28"/>
        </w:rPr>
      </w:pPr>
      <w:r>
        <w:rPr>
          <w:rFonts w:hint="eastAsia" w:ascii="彩虹粗仿宋" w:eastAsia="彩虹粗仿宋"/>
          <w:sz w:val="28"/>
          <w:szCs w:val="28"/>
        </w:rPr>
        <w:t>二、商品品类：生鲜类</w:t>
      </w:r>
    </w:p>
    <w:p>
      <w:pPr>
        <w:spacing w:line="540" w:lineRule="exact"/>
        <w:ind w:firstLine="560" w:firstLineChars="200"/>
        <w:rPr>
          <w:rFonts w:ascii="彩虹粗仿宋" w:eastAsia="彩虹粗仿宋"/>
          <w:sz w:val="28"/>
          <w:szCs w:val="28"/>
        </w:rPr>
      </w:pPr>
      <w:r>
        <w:rPr>
          <w:rFonts w:hint="eastAsia" w:ascii="彩虹粗仿宋" w:eastAsia="彩虹粗仿宋"/>
          <w:sz w:val="28"/>
          <w:szCs w:val="28"/>
        </w:rPr>
        <w:t>三、商品类别及质量要求</w:t>
      </w:r>
    </w:p>
    <w:p>
      <w:pPr>
        <w:spacing w:line="540" w:lineRule="exact"/>
        <w:ind w:firstLine="560" w:firstLineChars="200"/>
        <w:rPr>
          <w:rFonts w:ascii="彩虹粗仿宋" w:eastAsia="彩虹粗仿宋"/>
          <w:sz w:val="28"/>
          <w:szCs w:val="28"/>
        </w:rPr>
      </w:pPr>
      <w:r>
        <w:rPr>
          <w:rFonts w:hint="eastAsia" w:ascii="彩虹粗仿宋" w:eastAsia="彩虹粗仿宋"/>
          <w:sz w:val="28"/>
          <w:szCs w:val="28"/>
        </w:rPr>
        <w:t>（一）总体要求</w:t>
      </w:r>
    </w:p>
    <w:p>
      <w:pPr>
        <w:spacing w:line="540" w:lineRule="exact"/>
        <w:ind w:firstLine="560" w:firstLineChars="200"/>
        <w:rPr>
          <w:rFonts w:ascii="彩虹粗仿宋" w:eastAsia="彩虹粗仿宋"/>
          <w:sz w:val="28"/>
          <w:szCs w:val="28"/>
        </w:rPr>
      </w:pPr>
      <w:r>
        <w:rPr>
          <w:rFonts w:hint="eastAsia" w:ascii="彩虹粗仿宋" w:eastAsia="彩虹粗仿宋"/>
          <w:sz w:val="28"/>
          <w:szCs w:val="28"/>
        </w:rPr>
        <w:t>本项目所有需供应商配送的食材必须符合《中华人民共和国食品安全法》、国家相关标准、强制性规定要求及国家、当地最新卫生、食品部门颁发的相关标准。并在配送时按要求提供产品所涉及的《全国工业产品生产许可证》、《食品生产许可证》、《生猪定点屠宰证》和《动物防疫条件合格证》等国家强制规定材料，配送的蔬菜肉类需具有追踪溯源标识或记录记载，并可实现追踪溯源。投标人所配送产品达到相关食品卫生安全规定，国家有出台新的更高标准的，以新的更</w:t>
      </w:r>
      <w:bookmarkStart w:id="2" w:name="_GoBack"/>
      <w:bookmarkEnd w:id="2"/>
      <w:r>
        <w:rPr>
          <w:rFonts w:hint="eastAsia" w:ascii="彩虹粗仿宋" w:eastAsia="彩虹粗仿宋"/>
          <w:sz w:val="28"/>
          <w:szCs w:val="28"/>
        </w:rPr>
        <w:t>高标准为准，保证所配送产品配送到采购人时的质量、卫生和安全。</w:t>
      </w:r>
    </w:p>
    <w:p>
      <w:pPr>
        <w:ind w:firstLine="560"/>
        <w:rPr>
          <w:rFonts w:ascii="彩虹粗仿宋" w:eastAsia="彩虹粗仿宋"/>
          <w:sz w:val="28"/>
          <w:szCs w:val="28"/>
        </w:rPr>
      </w:pPr>
      <w:r>
        <w:rPr>
          <w:rFonts w:hint="eastAsia" w:ascii="彩虹粗仿宋" w:eastAsia="彩虹粗仿宋"/>
          <w:sz w:val="28"/>
          <w:szCs w:val="28"/>
        </w:rPr>
        <w:t>（二）食材要求</w:t>
      </w:r>
    </w:p>
    <w:p>
      <w:pPr>
        <w:ind w:firstLine="560"/>
        <w:rPr>
          <w:rFonts w:ascii="彩虹粗仿宋" w:eastAsia="彩虹粗仿宋"/>
          <w:sz w:val="28"/>
          <w:szCs w:val="28"/>
        </w:rPr>
      </w:pPr>
      <w:r>
        <w:rPr>
          <w:rFonts w:hint="eastAsia" w:ascii="彩虹粗仿宋" w:eastAsia="彩虹粗仿宋"/>
          <w:sz w:val="28"/>
          <w:szCs w:val="28"/>
        </w:rPr>
        <w:t>本次采购食材的验收标准按照DB51/T 2617-</w:t>
      </w:r>
      <w:r>
        <w:rPr>
          <w:rFonts w:ascii="彩虹粗仿宋" w:eastAsia="彩虹粗仿宋"/>
          <w:sz w:val="28"/>
          <w:szCs w:val="28"/>
        </w:rPr>
        <w:t>2023</w:t>
      </w:r>
      <w:r>
        <w:rPr>
          <w:rFonts w:hint="eastAsia" w:ascii="彩虹粗仿宋" w:eastAsia="彩虹粗仿宋"/>
          <w:sz w:val="28"/>
          <w:szCs w:val="28"/>
        </w:rPr>
        <w:t>《机关职工食堂管理服务规范》（四川省发布）执行。</w:t>
      </w:r>
    </w:p>
    <w:p>
      <w:pPr>
        <w:ind w:firstLine="560"/>
        <w:rPr>
          <w:rFonts w:ascii="彩虹粗仿宋" w:eastAsia="彩虹粗仿宋"/>
          <w:sz w:val="28"/>
          <w:szCs w:val="28"/>
        </w:rPr>
      </w:pPr>
      <w:r>
        <w:rPr>
          <w:rFonts w:hint="eastAsia" w:ascii="彩虹粗仿宋" w:eastAsia="彩虹粗仿宋"/>
          <w:sz w:val="28"/>
          <w:szCs w:val="28"/>
        </w:rPr>
        <w:t>1、肉类</w:t>
      </w:r>
    </w:p>
    <w:p>
      <w:pPr>
        <w:ind w:firstLine="560"/>
        <w:rPr>
          <w:rFonts w:ascii="彩虹粗仿宋" w:eastAsia="彩虹粗仿宋"/>
          <w:sz w:val="28"/>
          <w:szCs w:val="28"/>
        </w:rPr>
      </w:pPr>
      <w:r>
        <w:rPr>
          <w:rFonts w:hint="eastAsia" w:ascii="彩虹粗仿宋" w:eastAsia="彩虹粗仿宋"/>
          <w:sz w:val="28"/>
          <w:szCs w:val="28"/>
        </w:rPr>
        <w:t>供应商应按照采购人需求等级进行配送，包括当天屠宰的冷鲜肉（含畜肉类、禽肉类等），鱼、海带等水产类，冻鸡腿、冻 掌中宝等冷冻肉类。（特殊情况下须取得采购人认可后方可用冻肉替代）。肉类验收标准见下表：</w:t>
      </w:r>
    </w:p>
    <w:p>
      <w:pPr>
        <w:pStyle w:val="11"/>
        <w:spacing w:before="156"/>
        <w:rPr>
          <w:rFonts w:ascii="彩虹粗仿宋" w:eastAsia="彩虹粗仿宋"/>
          <w:sz w:val="28"/>
          <w:szCs w:val="28"/>
        </w:rPr>
      </w:pPr>
      <w:r>
        <w:rPr>
          <w:rFonts w:hint="eastAsia" w:ascii="彩虹粗仿宋" w:eastAsia="彩虹粗仿宋"/>
          <w:sz w:val="28"/>
          <w:szCs w:val="28"/>
        </w:rPr>
        <w:t xml:space="preserve"> </w:t>
      </w:r>
      <w:r>
        <w:rPr>
          <w:rFonts w:hint="eastAsia"/>
        </w:rPr>
        <w:t xml:space="preserve"> 肉类验收标准</w:t>
      </w:r>
    </w:p>
    <w:tbl>
      <w:tblPr>
        <w:tblStyle w:val="4"/>
        <w:tblW w:w="957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94"/>
        <w:gridCol w:w="1350"/>
        <w:gridCol w:w="742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94" w:type="dxa"/>
            <w:tcBorders>
              <w:top w:val="single" w:color="auto" w:sz="12" w:space="0"/>
              <w:left w:val="single" w:color="auto" w:sz="12" w:space="0"/>
              <w:bottom w:val="single" w:color="auto" w:sz="12"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序号</w:t>
            </w:r>
          </w:p>
        </w:tc>
        <w:tc>
          <w:tcPr>
            <w:tcW w:w="1350" w:type="dxa"/>
            <w:tcBorders>
              <w:top w:val="single" w:color="auto" w:sz="12" w:space="0"/>
              <w:left w:val="single" w:color="auto" w:sz="4" w:space="0"/>
              <w:bottom w:val="single" w:color="auto" w:sz="12" w:space="0"/>
              <w:right w:val="single" w:color="auto" w:sz="4" w:space="0"/>
            </w:tcBorders>
            <w:vAlign w:val="center"/>
          </w:tcPr>
          <w:p>
            <w:pPr>
              <w:widowControl/>
              <w:jc w:val="center"/>
              <w:textAlignment w:val="center"/>
              <w:rPr>
                <w:rFonts w:ascii="宋体" w:hAnsi="宋体" w:cs="宋体"/>
                <w:sz w:val="18"/>
                <w:szCs w:val="18"/>
              </w:rPr>
            </w:pPr>
            <w:r>
              <w:rPr>
                <w:rFonts w:hint="eastAsia" w:ascii="宋体" w:hAnsi="宋体" w:cs="宋体"/>
                <w:sz w:val="18"/>
                <w:szCs w:val="18"/>
              </w:rPr>
              <w:t>品名</w:t>
            </w:r>
          </w:p>
        </w:tc>
        <w:tc>
          <w:tcPr>
            <w:tcW w:w="7426" w:type="dxa"/>
            <w:tcBorders>
              <w:top w:val="single" w:color="auto" w:sz="12" w:space="0"/>
              <w:left w:val="single" w:color="auto" w:sz="4" w:space="0"/>
              <w:bottom w:val="single" w:color="auto" w:sz="12" w:space="0"/>
              <w:right w:val="single" w:color="auto" w:sz="12"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94" w:type="dxa"/>
            <w:tcBorders>
              <w:top w:val="single" w:color="auto" w:sz="12"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1</w:t>
            </w:r>
          </w:p>
        </w:tc>
        <w:tc>
          <w:tcPr>
            <w:tcW w:w="1350" w:type="dxa"/>
            <w:tcBorders>
              <w:top w:val="single" w:color="auto" w:sz="12"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边猪及其散肉</w:t>
            </w:r>
          </w:p>
        </w:tc>
        <w:tc>
          <w:tcPr>
            <w:tcW w:w="7426" w:type="dxa"/>
            <w:tcBorders>
              <w:top w:val="single" w:color="auto" w:sz="12"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肉质有弹性，手指轻按，凹陷地方立刻恢复，脂肪为白色或乳白色，整体色泽光润，切面红色、微微湿润但不粘手；无异味；无淤血、无注水，无寄生虫</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94"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2</w:t>
            </w:r>
          </w:p>
        </w:tc>
        <w:tc>
          <w:tcPr>
            <w:tcW w:w="135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猪上肉</w:t>
            </w:r>
          </w:p>
        </w:tc>
        <w:tc>
          <w:tcPr>
            <w:tcW w:w="7426"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瘦肉较多，可带有一定肥肉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94"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3</w:t>
            </w:r>
          </w:p>
        </w:tc>
        <w:tc>
          <w:tcPr>
            <w:tcW w:w="135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猪腩肉</w:t>
            </w:r>
          </w:p>
        </w:tc>
        <w:tc>
          <w:tcPr>
            <w:tcW w:w="7426"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带皮，肌肉与脂肪相间多层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94"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4</w:t>
            </w:r>
          </w:p>
        </w:tc>
        <w:tc>
          <w:tcPr>
            <w:tcW w:w="135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排骨</w:t>
            </w:r>
          </w:p>
        </w:tc>
        <w:tc>
          <w:tcPr>
            <w:tcW w:w="7426"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带肉，不带肥油，厚实、完整，骨肉未分离</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94"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5</w:t>
            </w:r>
          </w:p>
        </w:tc>
        <w:tc>
          <w:tcPr>
            <w:tcW w:w="135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汤骨</w:t>
            </w:r>
          </w:p>
        </w:tc>
        <w:tc>
          <w:tcPr>
            <w:tcW w:w="7426"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骨头洁白有光亮，附着在上面的肉和筋腱色泽不暗，纹理清晰；肉和筋腱有弹性，有生肉固有气味，无异味</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94"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6</w:t>
            </w:r>
          </w:p>
        </w:tc>
        <w:tc>
          <w:tcPr>
            <w:tcW w:w="135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猪蹄</w:t>
            </w:r>
          </w:p>
        </w:tc>
        <w:tc>
          <w:tcPr>
            <w:tcW w:w="7426"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干净、完整、无毛、无黑斑、无指甲、表皮光滑，肉质有弹性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94"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7</w:t>
            </w:r>
          </w:p>
        </w:tc>
        <w:tc>
          <w:tcPr>
            <w:tcW w:w="135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猪肝</w:t>
            </w:r>
          </w:p>
        </w:tc>
        <w:tc>
          <w:tcPr>
            <w:tcW w:w="7426"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肝叶完整、暗红，质地柔软、湿润、有光泽，边缘薄</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94"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8</w:t>
            </w:r>
          </w:p>
        </w:tc>
        <w:tc>
          <w:tcPr>
            <w:tcW w:w="135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猪心</w:t>
            </w:r>
          </w:p>
        </w:tc>
        <w:tc>
          <w:tcPr>
            <w:tcW w:w="7426"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心冠脂肪洁白，组织结实有弹性，用手可挤出鲜红的血液和血凝结块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94"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9</w:t>
            </w:r>
          </w:p>
        </w:tc>
        <w:tc>
          <w:tcPr>
            <w:tcW w:w="135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猪肺</w:t>
            </w:r>
          </w:p>
        </w:tc>
        <w:tc>
          <w:tcPr>
            <w:tcW w:w="7426"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内呈红色，有光泽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94"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10</w:t>
            </w:r>
          </w:p>
        </w:tc>
        <w:tc>
          <w:tcPr>
            <w:tcW w:w="135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猪腰</w:t>
            </w:r>
          </w:p>
        </w:tc>
        <w:tc>
          <w:tcPr>
            <w:tcW w:w="7426"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表面有一层光亮的薄膜，呈浅红色，柔软有光泽、有弹性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94"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11</w:t>
            </w:r>
          </w:p>
        </w:tc>
        <w:tc>
          <w:tcPr>
            <w:tcW w:w="135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猪大肠</w:t>
            </w:r>
          </w:p>
        </w:tc>
        <w:tc>
          <w:tcPr>
            <w:tcW w:w="7426"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呈浅黄，无黑斑，柔软，表面光滑湿润，无异物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94"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12</w:t>
            </w:r>
          </w:p>
        </w:tc>
        <w:tc>
          <w:tcPr>
            <w:tcW w:w="135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猪肚</w:t>
            </w:r>
          </w:p>
        </w:tc>
        <w:tc>
          <w:tcPr>
            <w:tcW w:w="7426"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呈浅白，色泽光润，不带肥油，内部干净，无异物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94"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13</w:t>
            </w:r>
          </w:p>
        </w:tc>
        <w:tc>
          <w:tcPr>
            <w:tcW w:w="135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猪脑</w:t>
            </w:r>
          </w:p>
        </w:tc>
        <w:tc>
          <w:tcPr>
            <w:tcW w:w="7426"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色红，个匀且无杂质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94"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14</w:t>
            </w:r>
          </w:p>
        </w:tc>
        <w:tc>
          <w:tcPr>
            <w:tcW w:w="135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梅肉</w:t>
            </w:r>
          </w:p>
        </w:tc>
        <w:tc>
          <w:tcPr>
            <w:tcW w:w="7426"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肌肉红色均匀，有光泽，外表微干或湿润，不沾手，弹性好，肉质纤维细密，整齐，无血污，肉边整齐，无碎肉和碎骨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94"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15</w:t>
            </w:r>
          </w:p>
        </w:tc>
        <w:tc>
          <w:tcPr>
            <w:tcW w:w="135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猪头皮</w:t>
            </w:r>
          </w:p>
        </w:tc>
        <w:tc>
          <w:tcPr>
            <w:tcW w:w="7426"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去毛洁净，不带毛根或绒毛，无异味</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94"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16</w:t>
            </w:r>
          </w:p>
        </w:tc>
        <w:tc>
          <w:tcPr>
            <w:tcW w:w="135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猪头骨</w:t>
            </w:r>
          </w:p>
        </w:tc>
        <w:tc>
          <w:tcPr>
            <w:tcW w:w="7426"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色泽肉红，不带皮，无异味</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94"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17</w:t>
            </w:r>
          </w:p>
        </w:tc>
        <w:tc>
          <w:tcPr>
            <w:tcW w:w="135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猪舌</w:t>
            </w:r>
          </w:p>
        </w:tc>
        <w:tc>
          <w:tcPr>
            <w:tcW w:w="7426"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灰白色包膜平滑，无异块和肿块，舌体柔软有弹性，无异味，外形完整，无根附着的肌肉、舌骨、舌苔、脂肪，无异物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94"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18</w:t>
            </w:r>
          </w:p>
        </w:tc>
        <w:tc>
          <w:tcPr>
            <w:tcW w:w="135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猪板油</w:t>
            </w:r>
          </w:p>
        </w:tc>
        <w:tc>
          <w:tcPr>
            <w:tcW w:w="7426"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带油膜的块状脂肪，无异味</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94"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19</w:t>
            </w:r>
          </w:p>
        </w:tc>
        <w:tc>
          <w:tcPr>
            <w:tcW w:w="135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猪筒骨</w:t>
            </w:r>
          </w:p>
        </w:tc>
        <w:tc>
          <w:tcPr>
            <w:tcW w:w="7426"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腿骨，圆管形，浅黄骨髓充满全部管状骨腔，带部分肌肉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94"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20</w:t>
            </w:r>
          </w:p>
        </w:tc>
        <w:tc>
          <w:tcPr>
            <w:tcW w:w="135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猪扇骨</w:t>
            </w:r>
          </w:p>
        </w:tc>
        <w:tc>
          <w:tcPr>
            <w:tcW w:w="7426"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sz w:val="18"/>
                <w:szCs w:val="18"/>
              </w:rPr>
            </w:pPr>
            <w:r>
              <w:rPr>
                <w:rFonts w:hint="eastAsia" w:ascii="宋体"/>
                <w:sz w:val="18"/>
                <w:szCs w:val="18"/>
              </w:rPr>
              <w:t>带部分瘦肉，色泽肉红，有弹性，不粘手</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94"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21</w:t>
            </w:r>
          </w:p>
        </w:tc>
        <w:tc>
          <w:tcPr>
            <w:tcW w:w="135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腮帮肉</w:t>
            </w:r>
          </w:p>
        </w:tc>
        <w:tc>
          <w:tcPr>
            <w:tcW w:w="7426"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去毛洁净，不带毛根或绒毛，无异味</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94"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22</w:t>
            </w:r>
          </w:p>
        </w:tc>
        <w:tc>
          <w:tcPr>
            <w:tcW w:w="135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猪尾巴</w:t>
            </w:r>
          </w:p>
        </w:tc>
        <w:tc>
          <w:tcPr>
            <w:tcW w:w="7426"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去毛洁净，不带毛根或绒毛，无异味</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94"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23</w:t>
            </w:r>
          </w:p>
        </w:tc>
        <w:tc>
          <w:tcPr>
            <w:tcW w:w="135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猪颈肉</w:t>
            </w:r>
          </w:p>
        </w:tc>
        <w:tc>
          <w:tcPr>
            <w:tcW w:w="7426"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肉色发红，无异味</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94"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24</w:t>
            </w:r>
          </w:p>
        </w:tc>
        <w:tc>
          <w:tcPr>
            <w:tcW w:w="135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猪前肘</w:t>
            </w:r>
          </w:p>
        </w:tc>
        <w:tc>
          <w:tcPr>
            <w:tcW w:w="7426"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肉皮白净，无毛，脂肪洁白，肌肉红润，肥瘦比例适中，外表湿润，不沾手，弹性良好，具有猪肉正常气味，无血污，肉边整齐，无碎肉、碎骨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94"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25</w:t>
            </w:r>
          </w:p>
        </w:tc>
        <w:tc>
          <w:tcPr>
            <w:tcW w:w="135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猪粉肠</w:t>
            </w:r>
          </w:p>
        </w:tc>
        <w:tc>
          <w:tcPr>
            <w:tcW w:w="7426"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肠厚，呈粉红色</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jc w:val="center"/>
        </w:trPr>
        <w:tc>
          <w:tcPr>
            <w:tcW w:w="794"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26</w:t>
            </w:r>
          </w:p>
        </w:tc>
        <w:tc>
          <w:tcPr>
            <w:tcW w:w="135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猪肥油</w:t>
            </w:r>
          </w:p>
        </w:tc>
        <w:tc>
          <w:tcPr>
            <w:tcW w:w="7426"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sz w:val="18"/>
                <w:szCs w:val="18"/>
              </w:rPr>
            </w:pPr>
            <w:r>
              <w:rPr>
                <w:rFonts w:hint="eastAsia" w:ascii="宋体" w:hAnsi="宋体" w:cs="宋体"/>
                <w:kern w:val="0"/>
                <w:sz w:val="18"/>
                <w:szCs w:val="18"/>
              </w:rPr>
              <w:t>去皮肥肉，</w:t>
            </w:r>
            <w:r>
              <w:rPr>
                <w:rFonts w:hint="eastAsia" w:ascii="宋体"/>
                <w:sz w:val="18"/>
                <w:szCs w:val="18"/>
              </w:rPr>
              <w:t>无异味，无杂质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94"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27</w:t>
            </w:r>
          </w:p>
        </w:tc>
        <w:tc>
          <w:tcPr>
            <w:tcW w:w="135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猪隔山肉</w:t>
            </w:r>
          </w:p>
        </w:tc>
        <w:tc>
          <w:tcPr>
            <w:tcW w:w="7426"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肉质鲜红有弹性，外表裹着一层白色肉膜，无异味</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94"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28</w:t>
            </w:r>
          </w:p>
        </w:tc>
        <w:tc>
          <w:tcPr>
            <w:tcW w:w="135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猪胰</w:t>
            </w:r>
          </w:p>
        </w:tc>
        <w:tc>
          <w:tcPr>
            <w:tcW w:w="7426"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sz w:val="18"/>
                <w:szCs w:val="18"/>
              </w:rPr>
            </w:pPr>
            <w:r>
              <w:rPr>
                <w:rFonts w:hint="eastAsia" w:ascii="宋体" w:hAnsi="宋体" w:cs="宋体"/>
                <w:kern w:val="0"/>
                <w:sz w:val="18"/>
                <w:szCs w:val="18"/>
              </w:rPr>
              <w:t>扁平长条形</w:t>
            </w:r>
            <w:r>
              <w:rPr>
                <w:rFonts w:hint="eastAsia" w:ascii="宋体"/>
                <w:sz w:val="18"/>
                <w:szCs w:val="18"/>
              </w:rPr>
              <w:t>，颜色灰暗有光泽，无异味</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94"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29</w:t>
            </w:r>
          </w:p>
        </w:tc>
        <w:tc>
          <w:tcPr>
            <w:tcW w:w="135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猪耳朵</w:t>
            </w:r>
          </w:p>
        </w:tc>
        <w:tc>
          <w:tcPr>
            <w:tcW w:w="7426"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无种猪猪耳，无毛，无异味，色泽正常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94"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30</w:t>
            </w:r>
          </w:p>
        </w:tc>
        <w:tc>
          <w:tcPr>
            <w:tcW w:w="135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鲜牛肉</w:t>
            </w:r>
          </w:p>
        </w:tc>
        <w:tc>
          <w:tcPr>
            <w:tcW w:w="7426"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肉色深红，肉质有弹性，指压凹陷部分立刻恢复，切面有光泽及微湿润，极少渗出物；脂肪白色或乳白色；无寄生虫，无注水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94"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31</w:t>
            </w:r>
          </w:p>
        </w:tc>
        <w:tc>
          <w:tcPr>
            <w:tcW w:w="135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鲜羊肉</w:t>
            </w:r>
          </w:p>
        </w:tc>
        <w:tc>
          <w:tcPr>
            <w:tcW w:w="7426"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肉色为均匀的红色，有光泽，肉质紧密而细腻，有弹性，外表微干，不粘手；肉皮为白至浅灰白色，无注水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94"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32</w:t>
            </w:r>
          </w:p>
        </w:tc>
        <w:tc>
          <w:tcPr>
            <w:tcW w:w="135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鲜鸭</w:t>
            </w:r>
          </w:p>
        </w:tc>
        <w:tc>
          <w:tcPr>
            <w:tcW w:w="7426"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表皮光滑而有光泽，肉质弹性好且丰满，表皮无毛，无破皮、无花皮、无显眼淤块；无注水；肚内无内脏，无血水，无异味</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94" w:type="dxa"/>
            <w:tcBorders>
              <w:top w:val="single" w:color="auto" w:sz="4" w:space="0"/>
              <w:left w:val="single" w:color="auto" w:sz="12" w:space="0"/>
              <w:bottom w:val="single" w:color="auto" w:sz="12"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33</w:t>
            </w:r>
          </w:p>
        </w:tc>
        <w:tc>
          <w:tcPr>
            <w:tcW w:w="1350" w:type="dxa"/>
            <w:tcBorders>
              <w:top w:val="single" w:color="auto" w:sz="4" w:space="0"/>
              <w:left w:val="single" w:color="auto" w:sz="4" w:space="0"/>
              <w:bottom w:val="single" w:color="auto" w:sz="12"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鲜鸡</w:t>
            </w:r>
          </w:p>
        </w:tc>
        <w:tc>
          <w:tcPr>
            <w:tcW w:w="7426" w:type="dxa"/>
            <w:tcBorders>
              <w:top w:val="single" w:color="auto" w:sz="4" w:space="0"/>
              <w:left w:val="single" w:color="auto" w:sz="4" w:space="0"/>
              <w:bottom w:val="single" w:color="auto" w:sz="12"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鸡肚内无内脏，外表微干或微湿润，不粘手；指压后的凹陷立即恢复，淤血斑无或极少，无破皮</w:t>
            </w:r>
          </w:p>
        </w:tc>
      </w:tr>
    </w:tbl>
    <w:p>
      <w:pPr>
        <w:pStyle w:val="11"/>
        <w:spacing w:before="156"/>
      </w:pPr>
      <w:r>
        <w:rPr>
          <w:rFonts w:hint="eastAsia"/>
        </w:rPr>
        <w:t>水产验收标准</w:t>
      </w:r>
    </w:p>
    <w:tbl>
      <w:tblPr>
        <w:tblStyle w:val="4"/>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48"/>
        <w:gridCol w:w="1232"/>
        <w:gridCol w:w="749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48" w:type="dxa"/>
            <w:tcBorders>
              <w:top w:val="single" w:color="auto" w:sz="12" w:space="0"/>
              <w:left w:val="single" w:color="auto" w:sz="12" w:space="0"/>
              <w:bottom w:val="single" w:color="auto" w:sz="12"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序号</w:t>
            </w:r>
          </w:p>
        </w:tc>
        <w:tc>
          <w:tcPr>
            <w:tcW w:w="1232" w:type="dxa"/>
            <w:tcBorders>
              <w:top w:val="single" w:color="auto" w:sz="12" w:space="0"/>
              <w:left w:val="single" w:color="auto" w:sz="4" w:space="0"/>
              <w:bottom w:val="single" w:color="auto" w:sz="12" w:space="0"/>
              <w:right w:val="single" w:color="auto" w:sz="4" w:space="0"/>
            </w:tcBorders>
            <w:vAlign w:val="center"/>
          </w:tcPr>
          <w:p>
            <w:pPr>
              <w:widowControl/>
              <w:jc w:val="center"/>
              <w:textAlignment w:val="center"/>
              <w:rPr>
                <w:rFonts w:ascii="宋体" w:hAnsi="宋体" w:cs="宋体"/>
                <w:sz w:val="18"/>
                <w:szCs w:val="18"/>
              </w:rPr>
            </w:pPr>
            <w:r>
              <w:rPr>
                <w:rFonts w:hint="eastAsia" w:ascii="宋体" w:hAnsi="宋体" w:cs="宋体"/>
                <w:sz w:val="18"/>
                <w:szCs w:val="18"/>
              </w:rPr>
              <w:t>品名</w:t>
            </w:r>
          </w:p>
        </w:tc>
        <w:tc>
          <w:tcPr>
            <w:tcW w:w="7490" w:type="dxa"/>
            <w:tcBorders>
              <w:top w:val="single" w:color="auto" w:sz="12" w:space="0"/>
              <w:left w:val="single" w:color="auto" w:sz="4" w:space="0"/>
              <w:bottom w:val="single" w:color="auto" w:sz="12" w:space="0"/>
              <w:right w:val="single" w:color="auto" w:sz="12"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48" w:type="dxa"/>
            <w:tcBorders>
              <w:top w:val="single" w:color="auto" w:sz="12"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1</w:t>
            </w:r>
          </w:p>
        </w:tc>
        <w:tc>
          <w:tcPr>
            <w:tcW w:w="1232" w:type="dxa"/>
            <w:tcBorders>
              <w:top w:val="single" w:color="auto" w:sz="12"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鱼类</w:t>
            </w:r>
          </w:p>
        </w:tc>
        <w:tc>
          <w:tcPr>
            <w:tcW w:w="7490" w:type="dxa"/>
            <w:tcBorders>
              <w:top w:val="single" w:color="auto" w:sz="12"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无嘴烂及其它外表损伤；鱼鳞完整有光泽，眼隔膜透明有光泽，眼球突出；腹部坚实不膨胀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48"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2</w:t>
            </w:r>
          </w:p>
        </w:tc>
        <w:tc>
          <w:tcPr>
            <w:tcW w:w="123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虾类</w:t>
            </w:r>
          </w:p>
        </w:tc>
        <w:tc>
          <w:tcPr>
            <w:tcW w:w="7490" w:type="dxa"/>
            <w:tcBorders>
              <w:top w:val="single" w:color="auto" w:sz="4" w:space="0"/>
              <w:left w:val="single" w:color="auto" w:sz="4" w:space="0"/>
              <w:bottom w:val="single" w:color="auto" w:sz="4" w:space="0"/>
              <w:right w:val="single" w:color="auto" w:sz="12" w:space="0"/>
            </w:tcBorders>
            <w:vAlign w:val="center"/>
          </w:tcPr>
          <w:p>
            <w:pPr>
              <w:widowControl/>
              <w:textAlignment w:val="center"/>
              <w:rPr>
                <w:rFonts w:ascii="宋体" w:hAnsi="宋体" w:cs="宋体"/>
                <w:kern w:val="0"/>
                <w:sz w:val="18"/>
                <w:szCs w:val="18"/>
              </w:rPr>
            </w:pPr>
            <w:r>
              <w:rPr>
                <w:rFonts w:hint="eastAsia" w:ascii="宋体" w:hAnsi="宋体" w:cs="宋体"/>
                <w:kern w:val="0"/>
                <w:sz w:val="18"/>
                <w:szCs w:val="18"/>
              </w:rPr>
              <w:t>头尾完整；虾眼突起，虾身较挺；肉质坚实、虾壳发亮、发硬，呈青绿色或青白色</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c>
          <w:tcPr>
            <w:tcW w:w="848"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3</w:t>
            </w:r>
          </w:p>
        </w:tc>
        <w:tc>
          <w:tcPr>
            <w:tcW w:w="123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蛙类</w:t>
            </w:r>
          </w:p>
        </w:tc>
        <w:tc>
          <w:tcPr>
            <w:tcW w:w="7490" w:type="dxa"/>
            <w:tcBorders>
              <w:top w:val="single" w:color="auto" w:sz="4" w:space="0"/>
              <w:left w:val="single" w:color="auto" w:sz="4" w:space="0"/>
              <w:bottom w:val="single" w:color="auto" w:sz="4" w:space="0"/>
              <w:right w:val="single" w:color="auto" w:sz="12" w:space="0"/>
            </w:tcBorders>
            <w:vAlign w:val="center"/>
          </w:tcPr>
          <w:p>
            <w:pPr>
              <w:widowControl/>
              <w:textAlignment w:val="center"/>
              <w:rPr>
                <w:rFonts w:ascii="宋体" w:hAnsi="宋体" w:cs="宋体"/>
                <w:kern w:val="0"/>
                <w:sz w:val="18"/>
                <w:szCs w:val="18"/>
              </w:rPr>
            </w:pPr>
            <w:r>
              <w:rPr>
                <w:rFonts w:hint="eastAsia" w:ascii="宋体" w:hAnsi="宋体" w:cs="宋体"/>
                <w:kern w:val="0"/>
                <w:sz w:val="18"/>
                <w:szCs w:val="18"/>
              </w:rPr>
              <w:t>无伤痕，无异味，表皮光滑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48"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4</w:t>
            </w:r>
          </w:p>
        </w:tc>
        <w:tc>
          <w:tcPr>
            <w:tcW w:w="123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黄鳝</w:t>
            </w:r>
          </w:p>
        </w:tc>
        <w:tc>
          <w:tcPr>
            <w:tcW w:w="7490" w:type="dxa"/>
            <w:tcBorders>
              <w:top w:val="single" w:color="auto" w:sz="4" w:space="0"/>
              <w:left w:val="single" w:color="auto" w:sz="4" w:space="0"/>
              <w:bottom w:val="single" w:color="auto" w:sz="4" w:space="0"/>
              <w:right w:val="single" w:color="auto" w:sz="12" w:space="0"/>
            </w:tcBorders>
            <w:vAlign w:val="center"/>
          </w:tcPr>
          <w:p>
            <w:pPr>
              <w:widowControl/>
              <w:textAlignment w:val="center"/>
              <w:rPr>
                <w:rFonts w:ascii="宋体" w:hAnsi="宋体" w:cs="宋体"/>
                <w:kern w:val="0"/>
                <w:sz w:val="18"/>
                <w:szCs w:val="18"/>
              </w:rPr>
            </w:pPr>
            <w:r>
              <w:rPr>
                <w:rFonts w:hint="eastAsia" w:ascii="宋体" w:hAnsi="宋体" w:cs="宋体"/>
                <w:kern w:val="0"/>
                <w:sz w:val="18"/>
                <w:szCs w:val="18"/>
              </w:rPr>
              <w:t>体色正常，体态完整，个体较大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48"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5</w:t>
            </w:r>
          </w:p>
        </w:tc>
        <w:tc>
          <w:tcPr>
            <w:tcW w:w="123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贝类</w:t>
            </w:r>
          </w:p>
        </w:tc>
        <w:tc>
          <w:tcPr>
            <w:tcW w:w="7490" w:type="dxa"/>
            <w:tcBorders>
              <w:top w:val="single" w:color="auto" w:sz="4" w:space="0"/>
              <w:left w:val="single" w:color="auto" w:sz="4" w:space="0"/>
              <w:bottom w:val="single" w:color="auto" w:sz="4" w:space="0"/>
              <w:right w:val="single" w:color="auto" w:sz="12" w:space="0"/>
            </w:tcBorders>
            <w:vAlign w:val="center"/>
          </w:tcPr>
          <w:p>
            <w:pPr>
              <w:widowControl/>
              <w:textAlignment w:val="center"/>
              <w:rPr>
                <w:rFonts w:ascii="宋体" w:hAnsi="宋体" w:cs="宋体"/>
                <w:kern w:val="0"/>
                <w:sz w:val="18"/>
                <w:szCs w:val="18"/>
              </w:rPr>
            </w:pPr>
            <w:r>
              <w:rPr>
                <w:rFonts w:hint="eastAsia" w:ascii="宋体" w:hAnsi="宋体" w:cs="宋体"/>
                <w:kern w:val="0"/>
                <w:sz w:val="18"/>
                <w:szCs w:val="18"/>
              </w:rPr>
              <w:t>无臭味，表面清洁完整，有光泽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48"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6</w:t>
            </w:r>
          </w:p>
        </w:tc>
        <w:tc>
          <w:tcPr>
            <w:tcW w:w="123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冰鲜鱼</w:t>
            </w:r>
          </w:p>
        </w:tc>
        <w:tc>
          <w:tcPr>
            <w:tcW w:w="7490"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体表粘液透明，滑而不粘，气味正常，鳃盖紧闭；淡水鱼鳃鲜红或粉红，海水鱼鳃紫色或紫红；鱼眼澄清透明，眼球突出；鱼鳞完整；鱼腹发白，不膨胀；鱼体肌肉有弹性，不易压出凹陷或凹陷能迅速复平；体表无伤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c>
          <w:tcPr>
            <w:tcW w:w="848"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7</w:t>
            </w:r>
          </w:p>
        </w:tc>
        <w:tc>
          <w:tcPr>
            <w:tcW w:w="123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冰鲜虾</w:t>
            </w:r>
          </w:p>
        </w:tc>
        <w:tc>
          <w:tcPr>
            <w:tcW w:w="7490" w:type="dxa"/>
            <w:tcBorders>
              <w:top w:val="single" w:color="auto" w:sz="4" w:space="0"/>
              <w:left w:val="single" w:color="auto" w:sz="4" w:space="0"/>
              <w:bottom w:val="single" w:color="auto" w:sz="4" w:space="0"/>
              <w:right w:val="single" w:color="auto" w:sz="12" w:space="0"/>
            </w:tcBorders>
            <w:vAlign w:val="center"/>
          </w:tcPr>
          <w:p>
            <w:pPr>
              <w:widowControl/>
              <w:textAlignment w:val="center"/>
              <w:rPr>
                <w:rFonts w:ascii="宋体" w:hAnsi="宋体" w:cs="宋体"/>
                <w:kern w:val="0"/>
                <w:sz w:val="18"/>
                <w:szCs w:val="18"/>
              </w:rPr>
            </w:pPr>
            <w:r>
              <w:rPr>
                <w:rFonts w:hint="eastAsia" w:ascii="宋体" w:hAnsi="宋体" w:cs="宋体"/>
                <w:kern w:val="0"/>
                <w:sz w:val="18"/>
                <w:szCs w:val="18"/>
              </w:rPr>
              <w:t>头尾完整，有一定弯曲度，虾身较挺，半透明不发红，外壳有光泽，稍湿润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848"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8</w:t>
            </w:r>
          </w:p>
        </w:tc>
        <w:tc>
          <w:tcPr>
            <w:tcW w:w="123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冰鱿鱼</w:t>
            </w:r>
          </w:p>
        </w:tc>
        <w:tc>
          <w:tcPr>
            <w:tcW w:w="7490" w:type="dxa"/>
            <w:tcBorders>
              <w:top w:val="single" w:color="auto" w:sz="4" w:space="0"/>
              <w:left w:val="single" w:color="auto" w:sz="4" w:space="0"/>
              <w:bottom w:val="single" w:color="auto" w:sz="4" w:space="0"/>
              <w:right w:val="single" w:color="auto" w:sz="12" w:space="0"/>
            </w:tcBorders>
            <w:vAlign w:val="center"/>
          </w:tcPr>
          <w:p>
            <w:pPr>
              <w:widowControl/>
              <w:textAlignment w:val="center"/>
              <w:rPr>
                <w:rFonts w:ascii="宋体" w:hAnsi="宋体" w:cs="宋体"/>
                <w:kern w:val="0"/>
                <w:sz w:val="18"/>
                <w:szCs w:val="18"/>
              </w:rPr>
            </w:pPr>
            <w:r>
              <w:rPr>
                <w:rFonts w:hint="eastAsia" w:ascii="宋体" w:hAnsi="宋体" w:cs="宋体"/>
                <w:kern w:val="0"/>
                <w:sz w:val="18"/>
                <w:szCs w:val="18"/>
              </w:rPr>
              <w:t>色鲜艳，皮微红，有光泽，多粘液，体形完整，肌肉柔软光滑，有弹性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48" w:type="dxa"/>
            <w:tcBorders>
              <w:top w:val="single" w:color="auto" w:sz="4" w:space="0"/>
              <w:left w:val="single" w:color="auto" w:sz="12" w:space="0"/>
              <w:bottom w:val="single" w:color="auto" w:sz="12"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9</w:t>
            </w:r>
          </w:p>
        </w:tc>
        <w:tc>
          <w:tcPr>
            <w:tcW w:w="1232" w:type="dxa"/>
            <w:tcBorders>
              <w:top w:val="single" w:color="auto" w:sz="4" w:space="0"/>
              <w:left w:val="single" w:color="auto" w:sz="4" w:space="0"/>
              <w:bottom w:val="single" w:color="auto" w:sz="12"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鱼干</w:t>
            </w:r>
          </w:p>
        </w:tc>
        <w:tc>
          <w:tcPr>
            <w:tcW w:w="7490" w:type="dxa"/>
            <w:tcBorders>
              <w:top w:val="single" w:color="auto" w:sz="4" w:space="0"/>
              <w:left w:val="single" w:color="auto" w:sz="4" w:space="0"/>
              <w:bottom w:val="single" w:color="auto" w:sz="12" w:space="0"/>
              <w:right w:val="single" w:color="auto" w:sz="12" w:space="0"/>
            </w:tcBorders>
            <w:vAlign w:val="center"/>
          </w:tcPr>
          <w:p>
            <w:pPr>
              <w:widowControl/>
              <w:textAlignment w:val="center"/>
              <w:rPr>
                <w:rFonts w:ascii="宋体" w:hAnsi="宋体" w:cs="宋体"/>
                <w:kern w:val="0"/>
                <w:sz w:val="18"/>
                <w:szCs w:val="18"/>
              </w:rPr>
            </w:pPr>
            <w:r>
              <w:rPr>
                <w:rFonts w:hint="eastAsia" w:ascii="宋体" w:hAnsi="宋体" w:cs="宋体"/>
                <w:kern w:val="0"/>
                <w:sz w:val="18"/>
                <w:szCs w:val="18"/>
              </w:rPr>
              <w:t>表面洁净有光泽，无盐霜，呈白色或淡黄色，鱼体外观完整，干燥，剖割刀口平滑，无裂纹，无破碎，无残缺</w:t>
            </w:r>
          </w:p>
        </w:tc>
      </w:tr>
    </w:tbl>
    <w:p>
      <w:pPr>
        <w:rPr>
          <w:rFonts w:ascii="彩虹粗仿宋" w:eastAsia="彩虹粗仿宋"/>
          <w:sz w:val="28"/>
          <w:szCs w:val="28"/>
        </w:rPr>
      </w:pPr>
    </w:p>
    <w:p>
      <w:pPr>
        <w:ind w:firstLine="560"/>
        <w:rPr>
          <w:rFonts w:ascii="彩虹粗仿宋" w:eastAsia="彩虹粗仿宋"/>
          <w:sz w:val="28"/>
          <w:szCs w:val="28"/>
        </w:rPr>
      </w:pPr>
      <w:r>
        <w:rPr>
          <w:rFonts w:hint="eastAsia" w:ascii="彩虹粗仿宋" w:eastAsia="彩虹粗仿宋"/>
          <w:sz w:val="28"/>
          <w:szCs w:val="28"/>
        </w:rPr>
        <w:t>2.蔬菜、水果类</w:t>
      </w:r>
    </w:p>
    <w:p>
      <w:pPr>
        <w:ind w:firstLine="560"/>
        <w:rPr>
          <w:rFonts w:ascii="彩虹粗仿宋" w:eastAsia="彩虹粗仿宋"/>
          <w:sz w:val="28"/>
          <w:szCs w:val="28"/>
        </w:rPr>
      </w:pPr>
      <w:r>
        <w:rPr>
          <w:rFonts w:hint="eastAsia" w:ascii="彩虹粗仿宋" w:eastAsia="彩虹粗仿宋"/>
          <w:sz w:val="28"/>
          <w:szCs w:val="28"/>
        </w:rPr>
        <w:t>所配送的食材农药残留须符合GB 2763-2021《食品安全国家标准食品中农药最大残留限量》、GB 2762-2017《食品安全国 家标准食品中污染物限量》或国家最新标准要求。为确保食品安全，严禁配送使用剧毒农药的蔬菜、水果，不得配送药性和肥气未脱的蔬菜、水果，必须保证其新鲜度，残余农药含量不能超过国家有关标准，由蔬菜水果引发的食物中毒等安全事故，由供应商负全责。</w:t>
      </w:r>
    </w:p>
    <w:p>
      <w:pPr>
        <w:pStyle w:val="11"/>
        <w:spacing w:before="156"/>
      </w:pPr>
      <w:r>
        <w:rPr>
          <w:rFonts w:hint="eastAsia"/>
        </w:rPr>
        <w:t>蔬菜验收标准</w:t>
      </w:r>
    </w:p>
    <w:tbl>
      <w:tblPr>
        <w:tblStyle w:val="4"/>
        <w:tblW w:w="9570"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82"/>
        <w:gridCol w:w="920"/>
        <w:gridCol w:w="776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82" w:type="dxa"/>
            <w:tcBorders>
              <w:top w:val="single" w:color="auto" w:sz="12" w:space="0"/>
              <w:left w:val="single" w:color="auto" w:sz="12" w:space="0"/>
              <w:bottom w:val="single" w:color="auto" w:sz="12"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序号</w:t>
            </w:r>
          </w:p>
        </w:tc>
        <w:tc>
          <w:tcPr>
            <w:tcW w:w="920" w:type="dxa"/>
            <w:tcBorders>
              <w:top w:val="single" w:color="auto" w:sz="12" w:space="0"/>
              <w:left w:val="single" w:color="auto" w:sz="4" w:space="0"/>
              <w:bottom w:val="single" w:color="auto" w:sz="12"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名称</w:t>
            </w:r>
          </w:p>
        </w:tc>
        <w:tc>
          <w:tcPr>
            <w:tcW w:w="7768" w:type="dxa"/>
            <w:tcBorders>
              <w:top w:val="single" w:color="auto" w:sz="12" w:space="0"/>
              <w:left w:val="single" w:color="auto" w:sz="4" w:space="0"/>
              <w:bottom w:val="single" w:color="auto" w:sz="12" w:space="0"/>
              <w:right w:val="single" w:color="auto" w:sz="12"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82" w:type="dxa"/>
            <w:tcBorders>
              <w:top w:val="single" w:color="auto" w:sz="12"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1</w:t>
            </w:r>
          </w:p>
        </w:tc>
        <w:tc>
          <w:tcPr>
            <w:tcW w:w="920" w:type="dxa"/>
            <w:tcBorders>
              <w:top w:val="single" w:color="auto" w:sz="12"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小白菜</w:t>
            </w:r>
          </w:p>
        </w:tc>
        <w:tc>
          <w:tcPr>
            <w:tcW w:w="7768" w:type="dxa"/>
            <w:tcBorders>
              <w:top w:val="single" w:color="auto" w:sz="12"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梗白色，叶子淡绿色，整棵菜水分充足，无根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82"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2</w:t>
            </w:r>
          </w:p>
        </w:tc>
        <w:tc>
          <w:tcPr>
            <w:tcW w:w="92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青菜</w:t>
            </w:r>
          </w:p>
        </w:tc>
        <w:tc>
          <w:tcPr>
            <w:tcW w:w="7768"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梗白色或浅绿色，叶子深绿色，整棵菜水分充足，无根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c>
          <w:tcPr>
            <w:tcW w:w="882"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3</w:t>
            </w:r>
          </w:p>
        </w:tc>
        <w:tc>
          <w:tcPr>
            <w:tcW w:w="92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油菜</w:t>
            </w:r>
          </w:p>
        </w:tc>
        <w:tc>
          <w:tcPr>
            <w:tcW w:w="7768"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梗短粗、呈淡绿色或白色，叶子厚、肥大，主茎无花蕾，水分充足</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82"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4</w:t>
            </w:r>
          </w:p>
        </w:tc>
        <w:tc>
          <w:tcPr>
            <w:tcW w:w="92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韭菜</w:t>
            </w:r>
          </w:p>
        </w:tc>
        <w:tc>
          <w:tcPr>
            <w:tcW w:w="7768"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叶较宽、挺直，翠绿色，根部洁白，根株均匀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82"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5</w:t>
            </w:r>
          </w:p>
        </w:tc>
        <w:tc>
          <w:tcPr>
            <w:tcW w:w="92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韭黄</w:t>
            </w:r>
          </w:p>
        </w:tc>
        <w:tc>
          <w:tcPr>
            <w:tcW w:w="7768"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叶肥挺、色泽淡黄，香味浓郁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82"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6</w:t>
            </w:r>
          </w:p>
        </w:tc>
        <w:tc>
          <w:tcPr>
            <w:tcW w:w="92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香芹</w:t>
            </w:r>
          </w:p>
        </w:tc>
        <w:tc>
          <w:tcPr>
            <w:tcW w:w="7768"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叶翠绿，无主茎、分支少，根细，茎挺直、脆，芹香味浓，水分充足</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c>
          <w:tcPr>
            <w:tcW w:w="882"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7</w:t>
            </w:r>
          </w:p>
        </w:tc>
        <w:tc>
          <w:tcPr>
            <w:tcW w:w="92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水芹</w:t>
            </w:r>
          </w:p>
        </w:tc>
        <w:tc>
          <w:tcPr>
            <w:tcW w:w="7768"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叶嫩绿或黄绿，茎、根部呈白色，茎细软、中间空、水分充足，有清香味</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82"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8</w:t>
            </w:r>
          </w:p>
        </w:tc>
        <w:tc>
          <w:tcPr>
            <w:tcW w:w="92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西芹</w:t>
            </w:r>
          </w:p>
        </w:tc>
        <w:tc>
          <w:tcPr>
            <w:tcW w:w="7768"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叶茎宽厚、颜色深绿</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82"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9</w:t>
            </w:r>
          </w:p>
        </w:tc>
        <w:tc>
          <w:tcPr>
            <w:tcW w:w="92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菠菜</w:t>
            </w:r>
          </w:p>
        </w:tc>
        <w:tc>
          <w:tcPr>
            <w:tcW w:w="7768"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颜色碧绿，叶大、挺直，根桃红、无主茎且叶柄无红色</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82"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10</w:t>
            </w:r>
          </w:p>
        </w:tc>
        <w:tc>
          <w:tcPr>
            <w:tcW w:w="92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生菜</w:t>
            </w:r>
          </w:p>
        </w:tc>
        <w:tc>
          <w:tcPr>
            <w:tcW w:w="7768"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颜色鲜艳淡绿，叶子水分充足、棵株挺直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c>
          <w:tcPr>
            <w:tcW w:w="882"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11</w:t>
            </w:r>
          </w:p>
        </w:tc>
        <w:tc>
          <w:tcPr>
            <w:tcW w:w="92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空心菜</w:t>
            </w:r>
          </w:p>
        </w:tc>
        <w:tc>
          <w:tcPr>
            <w:tcW w:w="7768"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叶薄小翠绿、有光泽，棵株挺直，梗淡绿色、易折断</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82"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12</w:t>
            </w:r>
          </w:p>
        </w:tc>
        <w:tc>
          <w:tcPr>
            <w:tcW w:w="92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西洋菜</w:t>
            </w:r>
          </w:p>
        </w:tc>
        <w:tc>
          <w:tcPr>
            <w:tcW w:w="7768"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颜色淡绿或深绿，茎细嫩脆、易折断，水分充足，棵株挺直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82"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13</w:t>
            </w:r>
          </w:p>
        </w:tc>
        <w:tc>
          <w:tcPr>
            <w:tcW w:w="92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油麦菜</w:t>
            </w:r>
          </w:p>
        </w:tc>
        <w:tc>
          <w:tcPr>
            <w:tcW w:w="7768"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叶淡绿、肥厚，无主茎，叶株挺直、水分充足</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82"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14</w:t>
            </w:r>
          </w:p>
        </w:tc>
        <w:tc>
          <w:tcPr>
            <w:tcW w:w="92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芥菜</w:t>
            </w:r>
          </w:p>
        </w:tc>
        <w:tc>
          <w:tcPr>
            <w:tcW w:w="7768"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叶大而薄、深绿色，柄绿脆，无主茎，叶株挺直、水分充足</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c>
          <w:tcPr>
            <w:tcW w:w="882"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15</w:t>
            </w:r>
          </w:p>
        </w:tc>
        <w:tc>
          <w:tcPr>
            <w:tcW w:w="92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菜心</w:t>
            </w:r>
          </w:p>
        </w:tc>
        <w:tc>
          <w:tcPr>
            <w:tcW w:w="7768"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颜色碧绿、梗脆，有花蕾或无花蕾，棵株挺直、水分充足</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82"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16</w:t>
            </w:r>
          </w:p>
        </w:tc>
        <w:tc>
          <w:tcPr>
            <w:tcW w:w="92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芥蓝</w:t>
            </w:r>
          </w:p>
        </w:tc>
        <w:tc>
          <w:tcPr>
            <w:tcW w:w="7768"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颜色墨绿，叶短少、有白霜、挺直，梗皮有光泽、绿色、粗长，断面绿白色、湿润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82"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17</w:t>
            </w:r>
          </w:p>
        </w:tc>
        <w:tc>
          <w:tcPr>
            <w:tcW w:w="92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小葱</w:t>
            </w:r>
          </w:p>
        </w:tc>
        <w:tc>
          <w:tcPr>
            <w:tcW w:w="7768"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叶翠绿、饱满充气、均匀细长，鳞茎洁白、挺直，香味浓郁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82"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18</w:t>
            </w:r>
          </w:p>
        </w:tc>
        <w:tc>
          <w:tcPr>
            <w:tcW w:w="92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胡葱</w:t>
            </w:r>
          </w:p>
        </w:tc>
        <w:tc>
          <w:tcPr>
            <w:tcW w:w="7768"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叶翠绿、饱满充气、均匀细长，鳞茎洁白、挺直，香味浓郁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c>
          <w:tcPr>
            <w:tcW w:w="882"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19</w:t>
            </w:r>
          </w:p>
        </w:tc>
        <w:tc>
          <w:tcPr>
            <w:tcW w:w="92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青蒜</w:t>
            </w:r>
          </w:p>
        </w:tc>
        <w:tc>
          <w:tcPr>
            <w:tcW w:w="7768"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叶翠绿、薄嫩、挺直，蒜茎洁白，水分充分，外表无水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82"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20</w:t>
            </w:r>
          </w:p>
        </w:tc>
        <w:tc>
          <w:tcPr>
            <w:tcW w:w="92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香菜</w:t>
            </w:r>
          </w:p>
        </w:tc>
        <w:tc>
          <w:tcPr>
            <w:tcW w:w="7768"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翠嫩、挺直、根部无泥，水分充足</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82"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21</w:t>
            </w:r>
          </w:p>
        </w:tc>
        <w:tc>
          <w:tcPr>
            <w:tcW w:w="92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青椒</w:t>
            </w:r>
          </w:p>
        </w:tc>
        <w:tc>
          <w:tcPr>
            <w:tcW w:w="7768"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长形或萝卜状，颜色碧绿、有光泽、表面光滑、饱满有一定硬度和弹性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82"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22</w:t>
            </w:r>
          </w:p>
        </w:tc>
        <w:tc>
          <w:tcPr>
            <w:tcW w:w="92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西椒</w:t>
            </w:r>
          </w:p>
        </w:tc>
        <w:tc>
          <w:tcPr>
            <w:tcW w:w="7768"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柿形或灯笼状，颜色碧绿、有光泽、表面光滑、饱满有一定硬度和弹性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c>
          <w:tcPr>
            <w:tcW w:w="882"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23</w:t>
            </w:r>
          </w:p>
        </w:tc>
        <w:tc>
          <w:tcPr>
            <w:tcW w:w="92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辣椒</w:t>
            </w:r>
          </w:p>
        </w:tc>
        <w:tc>
          <w:tcPr>
            <w:tcW w:w="7768"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细长圆锥状，颜色黄绿或碧绿、有光泽、表面光滑、饱满有一定硬度和弹性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82"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24</w:t>
            </w:r>
          </w:p>
        </w:tc>
        <w:tc>
          <w:tcPr>
            <w:tcW w:w="92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红椒</w:t>
            </w:r>
          </w:p>
        </w:tc>
        <w:tc>
          <w:tcPr>
            <w:tcW w:w="7768"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色泽红艳、有光泽、表面光滑、饱满有一定硬度和弹性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82"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25</w:t>
            </w:r>
          </w:p>
        </w:tc>
        <w:tc>
          <w:tcPr>
            <w:tcW w:w="92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番茄</w:t>
            </w:r>
          </w:p>
        </w:tc>
        <w:tc>
          <w:tcPr>
            <w:tcW w:w="7768"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大红、粉红或黄色，光泽亮艳，个大圆整，饱满有弹性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82"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26</w:t>
            </w:r>
          </w:p>
        </w:tc>
        <w:tc>
          <w:tcPr>
            <w:tcW w:w="92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大白菜</w:t>
            </w:r>
          </w:p>
        </w:tc>
        <w:tc>
          <w:tcPr>
            <w:tcW w:w="7768"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外叶淡绿色、奶黄色、帮白、内叶乳白色，叶新鲜光泽，棵株大、完整、包心坚实紧密，根部断面洁白完整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c>
          <w:tcPr>
            <w:tcW w:w="882"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27</w:t>
            </w:r>
          </w:p>
        </w:tc>
        <w:tc>
          <w:tcPr>
            <w:tcW w:w="92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大葱</w:t>
            </w:r>
          </w:p>
        </w:tc>
        <w:tc>
          <w:tcPr>
            <w:tcW w:w="7768"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葱叶为管状、浅绿色，葱白长、紧实、挺直、无根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82"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28</w:t>
            </w:r>
          </w:p>
        </w:tc>
        <w:tc>
          <w:tcPr>
            <w:tcW w:w="92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莴笋</w:t>
            </w:r>
          </w:p>
        </w:tc>
        <w:tc>
          <w:tcPr>
            <w:tcW w:w="7768"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笋形粗壮、条直、茎皮光泽、绿或淡绿色，断面碧绿，嫩叶少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82"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29</w:t>
            </w:r>
          </w:p>
        </w:tc>
        <w:tc>
          <w:tcPr>
            <w:tcW w:w="92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蒜薹</w:t>
            </w:r>
          </w:p>
        </w:tc>
        <w:tc>
          <w:tcPr>
            <w:tcW w:w="7768"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颜色深绿，梗细滑、有光泽、挺直，指甲掐之易断</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82"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30</w:t>
            </w:r>
          </w:p>
        </w:tc>
        <w:tc>
          <w:tcPr>
            <w:tcW w:w="92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花菜</w:t>
            </w:r>
          </w:p>
        </w:tc>
        <w:tc>
          <w:tcPr>
            <w:tcW w:w="7768"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花蕾颜色洁白或乳白、细密紧实不散，球形完整、表面湿润，花梗乳白或淡绿、紧凑，外叶绿色且少，主茎短，断面洁白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c>
          <w:tcPr>
            <w:tcW w:w="882"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31</w:t>
            </w:r>
          </w:p>
        </w:tc>
        <w:tc>
          <w:tcPr>
            <w:tcW w:w="92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西兰花</w:t>
            </w:r>
          </w:p>
        </w:tc>
        <w:tc>
          <w:tcPr>
            <w:tcW w:w="7768"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花蕾颜色深绿、细密紧实不散，球形完整、表面有白霜，花梗深绿、紧凑，外叶绿色且少，主茎短</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82"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32</w:t>
            </w:r>
          </w:p>
        </w:tc>
        <w:tc>
          <w:tcPr>
            <w:tcW w:w="92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黄瓜</w:t>
            </w:r>
          </w:p>
        </w:tc>
        <w:tc>
          <w:tcPr>
            <w:tcW w:w="7768"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颜色青绿，瓜身条直均匀，瓜把小，顶花带刺，有白霜或光泽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82"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33</w:t>
            </w:r>
          </w:p>
        </w:tc>
        <w:tc>
          <w:tcPr>
            <w:tcW w:w="92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冬瓜</w:t>
            </w:r>
          </w:p>
        </w:tc>
        <w:tc>
          <w:tcPr>
            <w:tcW w:w="7768"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皮青翠、有白霜，肉洁白、厚嫩、紧密，膛小，有一定硬度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82"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34</w:t>
            </w:r>
          </w:p>
        </w:tc>
        <w:tc>
          <w:tcPr>
            <w:tcW w:w="92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丝瓜</w:t>
            </w:r>
          </w:p>
        </w:tc>
        <w:tc>
          <w:tcPr>
            <w:tcW w:w="7768"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有棱和无棱两种，皮颜色翠绿、薄嫩，有白霜，条直均匀、细长挺直，易断无弹性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c>
          <w:tcPr>
            <w:tcW w:w="882"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35</w:t>
            </w:r>
          </w:p>
        </w:tc>
        <w:tc>
          <w:tcPr>
            <w:tcW w:w="92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苦瓜</w:t>
            </w:r>
          </w:p>
        </w:tc>
        <w:tc>
          <w:tcPr>
            <w:tcW w:w="7768"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淡绿色有光泽，凸处明显，条直均匀，有一定硬度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82"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36</w:t>
            </w:r>
          </w:p>
        </w:tc>
        <w:tc>
          <w:tcPr>
            <w:tcW w:w="92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毛瓜</w:t>
            </w:r>
          </w:p>
        </w:tc>
        <w:tc>
          <w:tcPr>
            <w:tcW w:w="7768"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颜色翠绿、有光泽，有细绒毛，皮薄嫩，形正，有一定硬度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82"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37</w:t>
            </w:r>
          </w:p>
        </w:tc>
        <w:tc>
          <w:tcPr>
            <w:tcW w:w="92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南瓜</w:t>
            </w:r>
          </w:p>
        </w:tc>
        <w:tc>
          <w:tcPr>
            <w:tcW w:w="7768"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颜色金黄色或橙红色，瓜形周正，肉金黄、紧密、粉甜，表面硬实</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82"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38</w:t>
            </w:r>
          </w:p>
        </w:tc>
        <w:tc>
          <w:tcPr>
            <w:tcW w:w="92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瓠瓜</w:t>
            </w:r>
          </w:p>
        </w:tc>
        <w:tc>
          <w:tcPr>
            <w:tcW w:w="7768"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淡绿色、有光泽，表面光滑平整、有白色绒毛，有一硬度、无弹性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c>
          <w:tcPr>
            <w:tcW w:w="882"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39</w:t>
            </w:r>
          </w:p>
        </w:tc>
        <w:tc>
          <w:tcPr>
            <w:tcW w:w="92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佛手瓜</w:t>
            </w:r>
          </w:p>
        </w:tc>
        <w:tc>
          <w:tcPr>
            <w:tcW w:w="7768"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浅绿色，佛手形状，有一定硬度，皮脆，瓜形正</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82"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40</w:t>
            </w:r>
          </w:p>
        </w:tc>
        <w:tc>
          <w:tcPr>
            <w:tcW w:w="92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角瓜</w:t>
            </w:r>
          </w:p>
        </w:tc>
        <w:tc>
          <w:tcPr>
            <w:tcW w:w="7768"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颜色黄绿色、表皮光滑有花纹和棱边，有一定的硬度、尾蒂有毛刺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82"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41</w:t>
            </w:r>
          </w:p>
        </w:tc>
        <w:tc>
          <w:tcPr>
            <w:tcW w:w="92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豇豆</w:t>
            </w:r>
          </w:p>
        </w:tc>
        <w:tc>
          <w:tcPr>
            <w:tcW w:w="7768"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颜色淡绿、有光泽，豆荚细长、均匀、廷直、饱满，有花蒂，有弹性，折之易断</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82"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42</w:t>
            </w:r>
          </w:p>
        </w:tc>
        <w:tc>
          <w:tcPr>
            <w:tcW w:w="92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毛豆</w:t>
            </w:r>
          </w:p>
        </w:tc>
        <w:tc>
          <w:tcPr>
            <w:tcW w:w="7768"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颜色青绿、表面有黄色的绒毛，豆荚饱满，剥开后豆粒呈淡绿色、完整，有清香</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c>
          <w:tcPr>
            <w:tcW w:w="882"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43</w:t>
            </w:r>
          </w:p>
        </w:tc>
        <w:tc>
          <w:tcPr>
            <w:tcW w:w="92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青豆</w:t>
            </w:r>
          </w:p>
        </w:tc>
        <w:tc>
          <w:tcPr>
            <w:tcW w:w="7768"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颜色青绿单一、有光泽，豆粒大、均匀完整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82"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44</w:t>
            </w:r>
          </w:p>
        </w:tc>
        <w:tc>
          <w:tcPr>
            <w:tcW w:w="92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四季豆</w:t>
            </w:r>
          </w:p>
        </w:tc>
        <w:tc>
          <w:tcPr>
            <w:tcW w:w="7768"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颜色青绿、表面有细绒毛，豆荚红长均匀、水分充足、饱满，有韧性、能弯曲，指甲掐后有痕，易断</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82"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45</w:t>
            </w:r>
          </w:p>
        </w:tc>
        <w:tc>
          <w:tcPr>
            <w:tcW w:w="92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荷兰豆</w:t>
            </w:r>
          </w:p>
        </w:tc>
        <w:tc>
          <w:tcPr>
            <w:tcW w:w="7768"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豆芽嫩绿有光泽，豆荚挺直，折之易断，筋丝不明显，豆粒小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82"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46</w:t>
            </w:r>
          </w:p>
        </w:tc>
        <w:tc>
          <w:tcPr>
            <w:tcW w:w="92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黄豆芽</w:t>
            </w:r>
          </w:p>
        </w:tc>
        <w:tc>
          <w:tcPr>
            <w:tcW w:w="7768"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豆芽挺直，芽身短而粗，根须少，芽色洁白晶莹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c>
          <w:tcPr>
            <w:tcW w:w="882"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47</w:t>
            </w:r>
          </w:p>
        </w:tc>
        <w:tc>
          <w:tcPr>
            <w:tcW w:w="92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绿豆芽</w:t>
            </w:r>
          </w:p>
        </w:tc>
        <w:tc>
          <w:tcPr>
            <w:tcW w:w="7768"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豆芽挺直，芽身短而粗，根须少，芽色洁白晶莹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82"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48</w:t>
            </w:r>
          </w:p>
        </w:tc>
        <w:tc>
          <w:tcPr>
            <w:tcW w:w="92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土豆</w:t>
            </w:r>
          </w:p>
        </w:tc>
        <w:tc>
          <w:tcPr>
            <w:tcW w:w="7768"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颜色为淡黄色或奶白色，个大形正、大小整齐，表皮光滑，体硬不软、饱满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82"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49</w:t>
            </w:r>
          </w:p>
        </w:tc>
        <w:tc>
          <w:tcPr>
            <w:tcW w:w="92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洋葱</w:t>
            </w:r>
          </w:p>
        </w:tc>
        <w:tc>
          <w:tcPr>
            <w:tcW w:w="7768"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鳞片颜色粉白或紫白、鳞片肥厚、完整无损、抱合紧密，球茎干度适中，有一定的硬度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82"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50</w:t>
            </w:r>
          </w:p>
        </w:tc>
        <w:tc>
          <w:tcPr>
            <w:tcW w:w="92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红薯</w:t>
            </w:r>
          </w:p>
        </w:tc>
        <w:tc>
          <w:tcPr>
            <w:tcW w:w="7768"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颜色粉红或淡黄色，依品种而定，个大形正、大小整齐，表皮无伤，体硬不软、饱满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c>
          <w:tcPr>
            <w:tcW w:w="882"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51</w:t>
            </w:r>
          </w:p>
        </w:tc>
        <w:tc>
          <w:tcPr>
            <w:tcW w:w="92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生姜</w:t>
            </w:r>
          </w:p>
        </w:tc>
        <w:tc>
          <w:tcPr>
            <w:tcW w:w="7768"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颜色淡黄，表皮完整，姜体硬脆、肥大，有辛香味</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82"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52</w:t>
            </w:r>
          </w:p>
        </w:tc>
        <w:tc>
          <w:tcPr>
            <w:tcW w:w="92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蒜头</w:t>
            </w:r>
          </w:p>
        </w:tc>
        <w:tc>
          <w:tcPr>
            <w:tcW w:w="7768"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颜色白色或紫色，蒜皮干燥，蒜瓣结实不散，有硬度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82"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53</w:t>
            </w:r>
          </w:p>
        </w:tc>
        <w:tc>
          <w:tcPr>
            <w:tcW w:w="92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胡萝卜</w:t>
            </w:r>
          </w:p>
        </w:tc>
        <w:tc>
          <w:tcPr>
            <w:tcW w:w="7768"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颜色红色或橘黄色，表面光滑，条直匀称、粗壮、硬实不软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82"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54</w:t>
            </w:r>
          </w:p>
        </w:tc>
        <w:tc>
          <w:tcPr>
            <w:tcW w:w="92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青萝卜</w:t>
            </w:r>
          </w:p>
        </w:tc>
        <w:tc>
          <w:tcPr>
            <w:tcW w:w="7768"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颜色青绿、皮薄且较细，肉质紧密，形体完整，水分大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c>
          <w:tcPr>
            <w:tcW w:w="882"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55</w:t>
            </w:r>
          </w:p>
        </w:tc>
        <w:tc>
          <w:tcPr>
            <w:tcW w:w="92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白萝卜</w:t>
            </w:r>
          </w:p>
        </w:tc>
        <w:tc>
          <w:tcPr>
            <w:tcW w:w="7768"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颜色为洁白光滑、细腻，形体完整，底部切面洁白，水分大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82"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56</w:t>
            </w:r>
          </w:p>
        </w:tc>
        <w:tc>
          <w:tcPr>
            <w:tcW w:w="92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藕</w:t>
            </w:r>
          </w:p>
        </w:tc>
        <w:tc>
          <w:tcPr>
            <w:tcW w:w="7768"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表皮颜色白中微黄，藕节肥大、无叉，水分充足</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82"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57</w:t>
            </w:r>
          </w:p>
        </w:tc>
        <w:tc>
          <w:tcPr>
            <w:tcW w:w="92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茭白</w:t>
            </w:r>
          </w:p>
        </w:tc>
        <w:tc>
          <w:tcPr>
            <w:tcW w:w="7768"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叶颜色青绿、完整，茎粗壮，肉肥厚、颜色洁白或淡黄色，折之易断</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82"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58</w:t>
            </w:r>
          </w:p>
        </w:tc>
        <w:tc>
          <w:tcPr>
            <w:tcW w:w="92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冬笋</w:t>
            </w:r>
          </w:p>
        </w:tc>
        <w:tc>
          <w:tcPr>
            <w:tcW w:w="7768"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笋壳淡黄色、有光泽、完整清洁，壳肉紧贴、饱满，肉质洁白较嫩，根小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c>
          <w:tcPr>
            <w:tcW w:w="882"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59</w:t>
            </w:r>
          </w:p>
        </w:tc>
        <w:tc>
          <w:tcPr>
            <w:tcW w:w="92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竹笋</w:t>
            </w:r>
          </w:p>
        </w:tc>
        <w:tc>
          <w:tcPr>
            <w:tcW w:w="7768"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笋壳颜色淡黄色、光泽，笋体粗壮、充实、饱满，笋肉洁白脆嫩、水分多</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82"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60</w:t>
            </w:r>
          </w:p>
        </w:tc>
        <w:tc>
          <w:tcPr>
            <w:tcW w:w="92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茨菰</w:t>
            </w:r>
          </w:p>
        </w:tc>
        <w:tc>
          <w:tcPr>
            <w:tcW w:w="7768"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外包膜颜色淡黄、项端尖芽淡黄色，形大饱满、洁净，肉乳白细腻</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82"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61</w:t>
            </w:r>
          </w:p>
        </w:tc>
        <w:tc>
          <w:tcPr>
            <w:tcW w:w="92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香菇</w:t>
            </w:r>
          </w:p>
        </w:tc>
        <w:tc>
          <w:tcPr>
            <w:tcW w:w="7768"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菌盖颜色褐色、有光泽、菌褶为淡米色或乳白色，菌身完整无损、不湿，菌盖厚大、有弹性，柄短小、香味浓、重量轻</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82" w:type="dxa"/>
            <w:tcBorders>
              <w:top w:val="single" w:color="auto" w:sz="4" w:space="0"/>
              <w:left w:val="single" w:color="auto" w:sz="12" w:space="0"/>
              <w:bottom w:val="single" w:color="auto" w:sz="12"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62</w:t>
            </w:r>
          </w:p>
        </w:tc>
        <w:tc>
          <w:tcPr>
            <w:tcW w:w="920" w:type="dxa"/>
            <w:tcBorders>
              <w:top w:val="single" w:color="auto" w:sz="4" w:space="0"/>
              <w:left w:val="single" w:color="auto" w:sz="4" w:space="0"/>
              <w:bottom w:val="single" w:color="auto" w:sz="12"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平菇</w:t>
            </w:r>
          </w:p>
        </w:tc>
        <w:tc>
          <w:tcPr>
            <w:tcW w:w="7768" w:type="dxa"/>
            <w:tcBorders>
              <w:top w:val="single" w:color="auto" w:sz="4" w:space="0"/>
              <w:left w:val="single" w:color="auto" w:sz="4" w:space="0"/>
              <w:bottom w:val="single" w:color="auto" w:sz="12"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菌为洁白色、菌身完整、大小均匀，菌盖与柄、菌环相连未展开，根短</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c>
          <w:tcPr>
            <w:tcW w:w="882" w:type="dxa"/>
            <w:tcBorders>
              <w:top w:val="single" w:color="auto" w:sz="4" w:space="0"/>
              <w:left w:val="single" w:color="auto" w:sz="12" w:space="0"/>
              <w:bottom w:val="single" w:color="auto" w:sz="12"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63</w:t>
            </w:r>
          </w:p>
        </w:tc>
        <w:tc>
          <w:tcPr>
            <w:tcW w:w="920" w:type="dxa"/>
            <w:tcBorders>
              <w:top w:val="single" w:color="auto" w:sz="4" w:space="0"/>
              <w:left w:val="single" w:color="auto" w:sz="4" w:space="0"/>
              <w:bottom w:val="single" w:color="auto" w:sz="12"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草菇</w:t>
            </w:r>
          </w:p>
        </w:tc>
        <w:tc>
          <w:tcPr>
            <w:tcW w:w="7768" w:type="dxa"/>
            <w:tcBorders>
              <w:top w:val="single" w:color="auto" w:sz="4" w:space="0"/>
              <w:left w:val="single" w:color="auto" w:sz="4" w:space="0"/>
              <w:bottom w:val="single" w:color="auto" w:sz="12"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顶部颜色为鼠灰色、根部为乳白色，蛋或卵圆形、饱满、菌膜未破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82" w:type="dxa"/>
            <w:tcBorders>
              <w:top w:val="single" w:color="auto" w:sz="4" w:space="0"/>
              <w:left w:val="single" w:color="auto" w:sz="12" w:space="0"/>
              <w:bottom w:val="single" w:color="auto" w:sz="12"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64</w:t>
            </w:r>
          </w:p>
        </w:tc>
        <w:tc>
          <w:tcPr>
            <w:tcW w:w="920" w:type="dxa"/>
            <w:tcBorders>
              <w:top w:val="single" w:color="auto" w:sz="4" w:space="0"/>
              <w:left w:val="single" w:color="auto" w:sz="4" w:space="0"/>
              <w:bottom w:val="single" w:color="auto" w:sz="12"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豆腐</w:t>
            </w:r>
          </w:p>
        </w:tc>
        <w:tc>
          <w:tcPr>
            <w:tcW w:w="7768" w:type="dxa"/>
            <w:tcBorders>
              <w:top w:val="single" w:color="auto" w:sz="4" w:space="0"/>
              <w:left w:val="single" w:color="auto" w:sz="4" w:space="0"/>
              <w:bottom w:val="single" w:color="auto" w:sz="12"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豆腐颜色洁白，有光泽，板豆腐处形完整，厚薄一致，结构紧密，富有弹性，有豆香味</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82" w:type="dxa"/>
            <w:tcBorders>
              <w:top w:val="single" w:color="auto" w:sz="4" w:space="0"/>
              <w:left w:val="single" w:color="auto" w:sz="12" w:space="0"/>
              <w:bottom w:val="single" w:color="auto" w:sz="12"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65</w:t>
            </w:r>
          </w:p>
        </w:tc>
        <w:tc>
          <w:tcPr>
            <w:tcW w:w="920" w:type="dxa"/>
            <w:tcBorders>
              <w:top w:val="single" w:color="auto" w:sz="4" w:space="0"/>
              <w:left w:val="single" w:color="auto" w:sz="4" w:space="0"/>
              <w:bottom w:val="single" w:color="auto" w:sz="12"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凉粉</w:t>
            </w:r>
          </w:p>
        </w:tc>
        <w:tc>
          <w:tcPr>
            <w:tcW w:w="7768" w:type="dxa"/>
            <w:tcBorders>
              <w:top w:val="single" w:color="auto" w:sz="4" w:space="0"/>
              <w:left w:val="single" w:color="auto" w:sz="4" w:space="0"/>
              <w:bottom w:val="single" w:color="auto" w:sz="12"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颜色为淡绿色或洁白色，晶莹透亮，厚薄一致，富有弹性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82" w:type="dxa"/>
            <w:tcBorders>
              <w:top w:val="single" w:color="auto" w:sz="4" w:space="0"/>
              <w:left w:val="single" w:color="auto" w:sz="12" w:space="0"/>
              <w:bottom w:val="single" w:color="auto" w:sz="12"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66</w:t>
            </w:r>
          </w:p>
        </w:tc>
        <w:tc>
          <w:tcPr>
            <w:tcW w:w="920" w:type="dxa"/>
            <w:tcBorders>
              <w:top w:val="single" w:color="auto" w:sz="4" w:space="0"/>
              <w:left w:val="single" w:color="auto" w:sz="4" w:space="0"/>
              <w:bottom w:val="single" w:color="auto" w:sz="12"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香干</w:t>
            </w:r>
          </w:p>
        </w:tc>
        <w:tc>
          <w:tcPr>
            <w:tcW w:w="7768" w:type="dxa"/>
            <w:tcBorders>
              <w:top w:val="single" w:color="auto" w:sz="4" w:space="0"/>
              <w:left w:val="single" w:color="auto" w:sz="4" w:space="0"/>
              <w:bottom w:val="single" w:color="auto" w:sz="12"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颜色正、外表完好、厚薄均匀、质地紧密、韧性好，香味浓郁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c>
          <w:tcPr>
            <w:tcW w:w="882" w:type="dxa"/>
            <w:tcBorders>
              <w:top w:val="single" w:color="auto" w:sz="4" w:space="0"/>
              <w:left w:val="single" w:color="auto" w:sz="12" w:space="0"/>
              <w:bottom w:val="single" w:color="auto" w:sz="12"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67</w:t>
            </w:r>
          </w:p>
        </w:tc>
        <w:tc>
          <w:tcPr>
            <w:tcW w:w="920" w:type="dxa"/>
            <w:tcBorders>
              <w:top w:val="single" w:color="auto" w:sz="4" w:space="0"/>
              <w:left w:val="single" w:color="auto" w:sz="4" w:space="0"/>
              <w:bottom w:val="single" w:color="auto" w:sz="12"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千张</w:t>
            </w:r>
          </w:p>
        </w:tc>
        <w:tc>
          <w:tcPr>
            <w:tcW w:w="7768" w:type="dxa"/>
            <w:tcBorders>
              <w:top w:val="single" w:color="auto" w:sz="4" w:space="0"/>
              <w:left w:val="single" w:color="auto" w:sz="4" w:space="0"/>
              <w:bottom w:val="single" w:color="auto" w:sz="12"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颜色淡黄、有光泽薄而韧性足，光洁完整、有豆香味</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82" w:type="dxa"/>
            <w:tcBorders>
              <w:top w:val="single" w:color="auto" w:sz="4" w:space="0"/>
              <w:left w:val="single" w:color="auto" w:sz="12" w:space="0"/>
              <w:bottom w:val="single" w:color="auto" w:sz="12"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68</w:t>
            </w:r>
          </w:p>
        </w:tc>
        <w:tc>
          <w:tcPr>
            <w:tcW w:w="920" w:type="dxa"/>
            <w:tcBorders>
              <w:top w:val="single" w:color="auto" w:sz="4" w:space="0"/>
              <w:left w:val="single" w:color="auto" w:sz="4" w:space="0"/>
              <w:bottom w:val="single" w:color="auto" w:sz="12"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素鸡</w:t>
            </w:r>
          </w:p>
        </w:tc>
        <w:tc>
          <w:tcPr>
            <w:tcW w:w="7768" w:type="dxa"/>
            <w:tcBorders>
              <w:top w:val="single" w:color="auto" w:sz="4" w:space="0"/>
              <w:left w:val="single" w:color="auto" w:sz="4" w:space="0"/>
              <w:bottom w:val="single" w:color="auto" w:sz="12"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颜色洁白，表面干燥光滑，外形完整、结构紧密、有弹性、不碎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82" w:type="dxa"/>
            <w:tcBorders>
              <w:top w:val="single" w:color="auto" w:sz="4" w:space="0"/>
              <w:left w:val="single" w:color="auto" w:sz="12" w:space="0"/>
              <w:bottom w:val="single" w:color="auto" w:sz="12"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69</w:t>
            </w:r>
          </w:p>
        </w:tc>
        <w:tc>
          <w:tcPr>
            <w:tcW w:w="920" w:type="dxa"/>
            <w:tcBorders>
              <w:top w:val="single" w:color="auto" w:sz="4" w:space="0"/>
              <w:left w:val="single" w:color="auto" w:sz="4" w:space="0"/>
              <w:bottom w:val="single" w:color="auto" w:sz="12"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油面筋</w:t>
            </w:r>
          </w:p>
        </w:tc>
        <w:tc>
          <w:tcPr>
            <w:tcW w:w="7768" w:type="dxa"/>
            <w:tcBorders>
              <w:top w:val="single" w:color="auto" w:sz="4" w:space="0"/>
              <w:left w:val="single" w:color="auto" w:sz="4" w:space="0"/>
              <w:bottom w:val="single" w:color="auto" w:sz="12"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颜色金黄色、光亮，形状有方、三角等，外形完整、松空脆轻，油香味浓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82" w:type="dxa"/>
            <w:tcBorders>
              <w:top w:val="single" w:color="auto" w:sz="4" w:space="0"/>
              <w:left w:val="single" w:color="auto" w:sz="12" w:space="0"/>
              <w:bottom w:val="single" w:color="auto" w:sz="12"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70</w:t>
            </w:r>
          </w:p>
        </w:tc>
        <w:tc>
          <w:tcPr>
            <w:tcW w:w="920" w:type="dxa"/>
            <w:tcBorders>
              <w:top w:val="single" w:color="auto" w:sz="4" w:space="0"/>
              <w:left w:val="single" w:color="auto" w:sz="4" w:space="0"/>
              <w:bottom w:val="single" w:color="auto" w:sz="12"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苞菜</w:t>
            </w:r>
          </w:p>
        </w:tc>
        <w:tc>
          <w:tcPr>
            <w:tcW w:w="7768" w:type="dxa"/>
            <w:tcBorders>
              <w:top w:val="single" w:color="auto" w:sz="4" w:space="0"/>
              <w:left w:val="single" w:color="auto" w:sz="4" w:space="0"/>
              <w:bottom w:val="single" w:color="auto" w:sz="12"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外叶淡绿色、内叶淡黄色，叶肥厚硬脆，棵株大、完整、包心坚实紧密，根部断面洁白完整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c>
          <w:tcPr>
            <w:tcW w:w="882" w:type="dxa"/>
            <w:tcBorders>
              <w:top w:val="single" w:color="auto" w:sz="4" w:space="0"/>
              <w:left w:val="single" w:color="auto" w:sz="12" w:space="0"/>
              <w:bottom w:val="single" w:color="auto" w:sz="12"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71</w:t>
            </w:r>
          </w:p>
        </w:tc>
        <w:tc>
          <w:tcPr>
            <w:tcW w:w="920" w:type="dxa"/>
            <w:tcBorders>
              <w:top w:val="single" w:color="auto" w:sz="4" w:space="0"/>
              <w:left w:val="single" w:color="auto" w:sz="4" w:space="0"/>
              <w:bottom w:val="single" w:color="auto" w:sz="12"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茄子</w:t>
            </w:r>
          </w:p>
        </w:tc>
        <w:tc>
          <w:tcPr>
            <w:tcW w:w="7768" w:type="dxa"/>
            <w:tcBorders>
              <w:top w:val="single" w:color="auto" w:sz="4" w:space="0"/>
              <w:left w:val="single" w:color="auto" w:sz="4" w:space="0"/>
              <w:bottom w:val="single" w:color="auto" w:sz="12"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色正（紫、青、白）形正（棒形、卵形、灯泡形），表面光滑有色泽，有弹性不软，个体均匀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48" w:hRule="atLeast"/>
        </w:trPr>
        <w:tc>
          <w:tcPr>
            <w:tcW w:w="882" w:type="dxa"/>
            <w:tcBorders>
              <w:top w:val="single" w:color="auto" w:sz="4" w:space="0"/>
              <w:left w:val="single" w:color="auto" w:sz="12" w:space="0"/>
              <w:bottom w:val="single" w:color="auto" w:sz="12"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其他</w:t>
            </w:r>
          </w:p>
        </w:tc>
        <w:tc>
          <w:tcPr>
            <w:tcW w:w="8688" w:type="dxa"/>
            <w:gridSpan w:val="2"/>
            <w:tcBorders>
              <w:top w:val="single" w:color="auto" w:sz="4" w:space="0"/>
              <w:left w:val="single" w:color="auto" w:sz="4" w:space="0"/>
              <w:bottom w:val="single" w:color="auto" w:sz="12" w:space="0"/>
              <w:right w:val="single" w:color="auto" w:sz="12" w:space="0"/>
            </w:tcBorders>
            <w:vAlign w:val="center"/>
          </w:tcPr>
          <w:p>
            <w:pPr>
              <w:widowControl/>
              <w:textAlignment w:val="center"/>
              <w:rPr>
                <w:rFonts w:ascii="宋体" w:hAnsi="宋体" w:cs="宋体"/>
                <w:kern w:val="0"/>
                <w:sz w:val="18"/>
                <w:szCs w:val="18"/>
              </w:rPr>
            </w:pPr>
          </w:p>
          <w:p>
            <w:pPr>
              <w:widowControl/>
              <w:textAlignment w:val="center"/>
              <w:rPr>
                <w:rFonts w:ascii="宋体" w:hAnsi="宋体" w:cs="宋体"/>
                <w:kern w:val="0"/>
                <w:sz w:val="18"/>
                <w:szCs w:val="18"/>
              </w:rPr>
            </w:pPr>
            <w:r>
              <w:rPr>
                <w:rFonts w:hint="eastAsia" w:ascii="宋体" w:hAnsi="宋体" w:cs="宋体"/>
                <w:kern w:val="0"/>
                <w:sz w:val="18"/>
                <w:szCs w:val="18"/>
              </w:rPr>
              <w:t>蔬菜种类繁多，各地品目不同，对本标准以外的验收标准，比如1.绿豆芽、黄豆芽等芽菜类，目视应牙茎鲜嫩、色清白净，根呈白色、头呈淡黄色，无折断、无变色变质等；2.绍菜、京包菜等鳞茎菜类，目视应叶片无损伤、最外层无枯萎叶、无烂叶及异常斑点等，需在日常验收中总结完善。</w:t>
            </w:r>
          </w:p>
          <w:p>
            <w:pPr>
              <w:widowControl/>
              <w:textAlignment w:val="center"/>
              <w:rPr>
                <w:rFonts w:ascii="宋体" w:hAnsi="宋体" w:cs="宋体"/>
                <w:kern w:val="0"/>
                <w:sz w:val="18"/>
                <w:szCs w:val="18"/>
              </w:rPr>
            </w:pPr>
          </w:p>
        </w:tc>
      </w:tr>
    </w:tbl>
    <w:p>
      <w:pPr>
        <w:pStyle w:val="11"/>
        <w:spacing w:before="156"/>
      </w:pPr>
      <w:r>
        <w:rPr>
          <w:rFonts w:hint="eastAsia"/>
        </w:rPr>
        <w:t>水果验收标准</w:t>
      </w:r>
    </w:p>
    <w:tbl>
      <w:tblPr>
        <w:tblStyle w:val="4"/>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16"/>
        <w:gridCol w:w="874"/>
        <w:gridCol w:w="788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16" w:type="dxa"/>
            <w:tcBorders>
              <w:top w:val="single" w:color="auto" w:sz="12" w:space="0"/>
              <w:left w:val="single" w:color="auto" w:sz="12" w:space="0"/>
              <w:bottom w:val="single" w:color="auto" w:sz="12"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序号</w:t>
            </w:r>
          </w:p>
        </w:tc>
        <w:tc>
          <w:tcPr>
            <w:tcW w:w="874" w:type="dxa"/>
            <w:tcBorders>
              <w:top w:val="single" w:color="auto" w:sz="12" w:space="0"/>
              <w:left w:val="single" w:color="auto" w:sz="4" w:space="0"/>
              <w:bottom w:val="single" w:color="auto" w:sz="12" w:space="0"/>
              <w:right w:val="single" w:color="auto" w:sz="4" w:space="0"/>
            </w:tcBorders>
            <w:vAlign w:val="center"/>
          </w:tcPr>
          <w:p>
            <w:pPr>
              <w:widowControl/>
              <w:jc w:val="center"/>
              <w:textAlignment w:val="center"/>
              <w:rPr>
                <w:rFonts w:ascii="宋体" w:hAnsi="宋体" w:cs="宋体"/>
                <w:sz w:val="18"/>
                <w:szCs w:val="18"/>
              </w:rPr>
            </w:pPr>
            <w:r>
              <w:rPr>
                <w:rFonts w:hint="eastAsia" w:ascii="宋体" w:hAnsi="宋体" w:cs="宋体"/>
                <w:sz w:val="18"/>
                <w:szCs w:val="18"/>
              </w:rPr>
              <w:t>品名</w:t>
            </w:r>
          </w:p>
        </w:tc>
        <w:tc>
          <w:tcPr>
            <w:tcW w:w="7880" w:type="dxa"/>
            <w:tcBorders>
              <w:top w:val="single" w:color="auto" w:sz="12" w:space="0"/>
              <w:left w:val="single" w:color="auto" w:sz="4" w:space="0"/>
              <w:bottom w:val="single" w:color="auto" w:sz="12" w:space="0"/>
              <w:right w:val="single" w:color="auto" w:sz="12"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16" w:type="dxa"/>
            <w:tcBorders>
              <w:top w:val="single" w:color="auto" w:sz="12"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1</w:t>
            </w:r>
          </w:p>
        </w:tc>
        <w:tc>
          <w:tcPr>
            <w:tcW w:w="874" w:type="dxa"/>
            <w:tcBorders>
              <w:top w:val="single" w:color="auto" w:sz="12"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梨类</w:t>
            </w:r>
          </w:p>
        </w:tc>
        <w:tc>
          <w:tcPr>
            <w:tcW w:w="7880" w:type="dxa"/>
            <w:tcBorders>
              <w:top w:val="single" w:color="auto" w:sz="12"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果形端正，大小均匀，无畸形果，带果柄；果面新鲜洁净，无刺划伤，无压痕，无病虫害；果身重，结实</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16"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2</w:t>
            </w:r>
          </w:p>
        </w:tc>
        <w:tc>
          <w:tcPr>
            <w:tcW w:w="874"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苹果类</w:t>
            </w:r>
          </w:p>
        </w:tc>
        <w:tc>
          <w:tcPr>
            <w:tcW w:w="7880"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大小均匀，果面光滑有光泽；无斑点或极少果锈，不起皱，无裂口，无压痕及其他机械损伤和冻伤黑斑；果身重，硬朗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c>
          <w:tcPr>
            <w:tcW w:w="816"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3</w:t>
            </w:r>
          </w:p>
        </w:tc>
        <w:tc>
          <w:tcPr>
            <w:tcW w:w="874"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柑类</w:t>
            </w:r>
          </w:p>
        </w:tc>
        <w:tc>
          <w:tcPr>
            <w:tcW w:w="7880"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果实大近似球形，无异状突起瘤、无病虫害所呈现的绿斑、黑斑，无霉烂，无机械伤，果面清新洁净，大小均匀，果实无萎蔫，色泽自然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16"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4</w:t>
            </w:r>
          </w:p>
        </w:tc>
        <w:tc>
          <w:tcPr>
            <w:tcW w:w="874"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桔类</w:t>
            </w:r>
          </w:p>
        </w:tc>
        <w:tc>
          <w:tcPr>
            <w:tcW w:w="7880"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果实小而扁，大小均匀，果面新鲜光洁无裂口，无机械伤，无病斑及腐烂现象，果蒂完整平齐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16"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5</w:t>
            </w:r>
          </w:p>
        </w:tc>
        <w:tc>
          <w:tcPr>
            <w:tcW w:w="874"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橙类</w:t>
            </w:r>
          </w:p>
        </w:tc>
        <w:tc>
          <w:tcPr>
            <w:tcW w:w="7880"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大小均匀，皮光滑并有光泽，果身重，无机械损伤；无萎蔫</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16"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6</w:t>
            </w:r>
          </w:p>
        </w:tc>
        <w:tc>
          <w:tcPr>
            <w:tcW w:w="874"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柚类</w:t>
            </w:r>
          </w:p>
        </w:tc>
        <w:tc>
          <w:tcPr>
            <w:tcW w:w="7880"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果实大，圆形或梨形，大小均匀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c>
          <w:tcPr>
            <w:tcW w:w="816"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7</w:t>
            </w:r>
          </w:p>
        </w:tc>
        <w:tc>
          <w:tcPr>
            <w:tcW w:w="874"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柠檬</w:t>
            </w:r>
          </w:p>
        </w:tc>
        <w:tc>
          <w:tcPr>
            <w:tcW w:w="7880"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色泽浅黄，果实椭圆或圆形，大小均匀，顶端有乳头状突起，无机械损伤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16"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8</w:t>
            </w:r>
          </w:p>
        </w:tc>
        <w:tc>
          <w:tcPr>
            <w:tcW w:w="874"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蕉类</w:t>
            </w:r>
          </w:p>
        </w:tc>
        <w:tc>
          <w:tcPr>
            <w:tcW w:w="7880"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果实丰满，果形端正，梳柄完整，单果均匀；色泽自然、光亮；皮色青黄，果面光滑，无病黑斑，无虫疤，无霉菌，无创伤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16"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9</w:t>
            </w:r>
          </w:p>
        </w:tc>
        <w:tc>
          <w:tcPr>
            <w:tcW w:w="874"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葡萄类</w:t>
            </w:r>
          </w:p>
        </w:tc>
        <w:tc>
          <w:tcPr>
            <w:tcW w:w="7880"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果粒面完好，皮上无斑痕，果珠饱满，大小均匀；轻提果穗枝梗，微微抖动，果实不抖落或抖落极少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16"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10</w:t>
            </w:r>
          </w:p>
        </w:tc>
        <w:tc>
          <w:tcPr>
            <w:tcW w:w="874"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西瓜</w:t>
            </w:r>
          </w:p>
        </w:tc>
        <w:tc>
          <w:tcPr>
            <w:tcW w:w="7880"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大小均匀，果色清新光亮，条纹清晰，果皮无伤痕，无干疤，无虫眼，无病斑，果柄茸毛脱落，脐部凹陷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c>
          <w:tcPr>
            <w:tcW w:w="816"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11</w:t>
            </w:r>
          </w:p>
        </w:tc>
        <w:tc>
          <w:tcPr>
            <w:tcW w:w="874"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哈密瓜</w:t>
            </w:r>
          </w:p>
        </w:tc>
        <w:tc>
          <w:tcPr>
            <w:tcW w:w="7880"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瓜形端正，呈椭圆或橄榄形；瓜身坚实微软，果皮无伤及其无腐烂，切开色泽鲜艳光润，大小均匀，香气浓郁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16"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12</w:t>
            </w:r>
          </w:p>
        </w:tc>
        <w:tc>
          <w:tcPr>
            <w:tcW w:w="874"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香瓜</w:t>
            </w:r>
          </w:p>
        </w:tc>
        <w:tc>
          <w:tcPr>
            <w:tcW w:w="7880"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外形完整良好，新鲜洁净，果身坚实，果面无裂痕、腐烂，大小均匀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16"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13</w:t>
            </w:r>
          </w:p>
        </w:tc>
        <w:tc>
          <w:tcPr>
            <w:tcW w:w="874"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芒果</w:t>
            </w:r>
          </w:p>
        </w:tc>
        <w:tc>
          <w:tcPr>
            <w:tcW w:w="7880"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大小均匀，外表光滑，有一定硬度，果实结实，无黑斑，无灰斑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16"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14</w:t>
            </w:r>
          </w:p>
        </w:tc>
        <w:tc>
          <w:tcPr>
            <w:tcW w:w="874"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火龙果</w:t>
            </w:r>
          </w:p>
        </w:tc>
        <w:tc>
          <w:tcPr>
            <w:tcW w:w="7880"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果面火红有光泽，叶片青，果实坚实；无腐烂，无软塌，无皱缩，大小均匀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c>
          <w:tcPr>
            <w:tcW w:w="816"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15</w:t>
            </w:r>
          </w:p>
        </w:tc>
        <w:tc>
          <w:tcPr>
            <w:tcW w:w="874"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草莓</w:t>
            </w:r>
          </w:p>
        </w:tc>
        <w:tc>
          <w:tcPr>
            <w:tcW w:w="7880"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色泽鲜红，无烂斑与虫蚀，大小均匀，蒂部有青色</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16"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16</w:t>
            </w:r>
          </w:p>
        </w:tc>
        <w:tc>
          <w:tcPr>
            <w:tcW w:w="874"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红枣</w:t>
            </w:r>
          </w:p>
        </w:tc>
        <w:tc>
          <w:tcPr>
            <w:tcW w:w="7880"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大枣鲜红或深紫，小枣红中带黄，有光泽，果面清洁，无霉烂，无病虫，无破损，手捏手感紧实、不粘，无霉味，无酒味</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16"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17</w:t>
            </w:r>
          </w:p>
        </w:tc>
        <w:tc>
          <w:tcPr>
            <w:tcW w:w="874"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核桃</w:t>
            </w:r>
          </w:p>
        </w:tc>
        <w:tc>
          <w:tcPr>
            <w:tcW w:w="7880"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大小均匀，果壳色明洁净、光滑，果壳无虫孔，无病疤，无破损，无霉斑，果仁饱满，无异味</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16"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18</w:t>
            </w:r>
          </w:p>
        </w:tc>
        <w:tc>
          <w:tcPr>
            <w:tcW w:w="874"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菠萝</w:t>
            </w:r>
          </w:p>
        </w:tc>
        <w:tc>
          <w:tcPr>
            <w:tcW w:w="7880"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外形完整良好，新鲜洁净，无异常气味；果身坚实，无潮湿溢汁、溢胶；无腐烂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16" w:type="dxa"/>
            <w:tcBorders>
              <w:top w:val="single" w:color="auto" w:sz="4" w:space="0"/>
              <w:left w:val="single" w:color="auto" w:sz="12" w:space="0"/>
              <w:bottom w:val="single" w:color="auto" w:sz="4"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19</w:t>
            </w:r>
          </w:p>
        </w:tc>
        <w:tc>
          <w:tcPr>
            <w:tcW w:w="874"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枇杷</w:t>
            </w:r>
          </w:p>
        </w:tc>
        <w:tc>
          <w:tcPr>
            <w:tcW w:w="7880" w:type="dxa"/>
            <w:tcBorders>
              <w:top w:val="single" w:color="auto" w:sz="4" w:space="0"/>
              <w:left w:val="single" w:color="auto" w:sz="4" w:space="0"/>
              <w:bottom w:val="single" w:color="auto" w:sz="4"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果实橙黄，新鲜洁净，无异常气味，有一定硬度，无裂果，无腐烂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16" w:type="dxa"/>
            <w:tcBorders>
              <w:top w:val="single" w:color="auto" w:sz="4" w:space="0"/>
              <w:left w:val="single" w:color="auto" w:sz="12" w:space="0"/>
              <w:bottom w:val="single" w:color="auto" w:sz="12" w:space="0"/>
              <w:right w:val="single" w:color="auto" w:sz="4" w:space="0"/>
            </w:tcBorders>
            <w:vAlign w:val="center"/>
          </w:tcPr>
          <w:p>
            <w:pPr>
              <w:pStyle w:val="10"/>
              <w:ind w:firstLine="0" w:firstLineChars="0"/>
              <w:jc w:val="center"/>
              <w:rPr>
                <w:rFonts w:hAnsi="宋体" w:cs="宋体"/>
                <w:sz w:val="18"/>
                <w:szCs w:val="18"/>
              </w:rPr>
            </w:pPr>
            <w:r>
              <w:rPr>
                <w:rFonts w:hint="eastAsia" w:hAnsi="宋体" w:cs="宋体"/>
                <w:sz w:val="18"/>
                <w:szCs w:val="18"/>
              </w:rPr>
              <w:t>20</w:t>
            </w:r>
          </w:p>
        </w:tc>
        <w:tc>
          <w:tcPr>
            <w:tcW w:w="874" w:type="dxa"/>
            <w:tcBorders>
              <w:top w:val="single" w:color="auto" w:sz="4" w:space="0"/>
              <w:left w:val="single" w:color="auto" w:sz="4" w:space="0"/>
              <w:bottom w:val="single" w:color="auto" w:sz="12" w:space="0"/>
              <w:right w:val="single" w:color="auto" w:sz="4" w:space="0"/>
            </w:tcBorders>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桂圆</w:t>
            </w:r>
          </w:p>
        </w:tc>
        <w:tc>
          <w:tcPr>
            <w:tcW w:w="7880" w:type="dxa"/>
            <w:tcBorders>
              <w:top w:val="single" w:color="auto" w:sz="4" w:space="0"/>
              <w:left w:val="single" w:color="auto" w:sz="4" w:space="0"/>
              <w:bottom w:val="single" w:color="auto" w:sz="12" w:space="0"/>
              <w:right w:val="single" w:color="auto" w:sz="1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果色棕黄，果粒均匀，果身较平滑有光泽；无霉烂，无黑斑</w:t>
            </w:r>
          </w:p>
        </w:tc>
      </w:tr>
    </w:tbl>
    <w:p>
      <w:pPr>
        <w:rPr>
          <w:rFonts w:ascii="彩虹粗仿宋" w:eastAsia="彩虹粗仿宋"/>
          <w:sz w:val="28"/>
          <w:szCs w:val="28"/>
        </w:rPr>
      </w:pPr>
    </w:p>
    <w:p>
      <w:pPr>
        <w:ind w:firstLine="560"/>
        <w:rPr>
          <w:rFonts w:ascii="彩虹粗仿宋" w:eastAsia="彩虹粗仿宋"/>
          <w:sz w:val="28"/>
          <w:szCs w:val="28"/>
        </w:rPr>
      </w:pPr>
      <w:r>
        <w:rPr>
          <w:rFonts w:hint="eastAsia" w:ascii="彩虹粗仿宋" w:eastAsia="彩虹粗仿宋"/>
          <w:sz w:val="28"/>
          <w:szCs w:val="28"/>
        </w:rPr>
        <w:t>3.蛋类</w:t>
      </w:r>
    </w:p>
    <w:p>
      <w:pPr>
        <w:spacing w:line="540" w:lineRule="exact"/>
        <w:ind w:left="420" w:leftChars="200" w:firstLine="140" w:firstLineChars="50"/>
        <w:rPr>
          <w:rFonts w:ascii="彩虹粗仿宋" w:eastAsia="彩虹粗仿宋"/>
          <w:sz w:val="28"/>
          <w:szCs w:val="28"/>
        </w:rPr>
      </w:pPr>
      <w:r>
        <w:rPr>
          <w:rFonts w:hint="eastAsia" w:ascii="彩虹粗仿宋" w:eastAsia="彩虹粗仿宋"/>
          <w:sz w:val="28"/>
          <w:szCs w:val="28"/>
        </w:rPr>
        <w:t>保证新鲜、清洁、无破损；外壳坚固完整，色泽自然有光泽；</w:t>
      </w:r>
    </w:p>
    <w:p>
      <w:pPr>
        <w:spacing w:line="540" w:lineRule="exact"/>
        <w:rPr>
          <w:rFonts w:ascii="彩虹粗仿宋" w:eastAsia="彩虹粗仿宋"/>
          <w:sz w:val="28"/>
          <w:szCs w:val="28"/>
        </w:rPr>
      </w:pPr>
      <w:r>
        <w:rPr>
          <w:rFonts w:hint="eastAsia" w:ascii="彩虹粗仿宋" w:eastAsia="彩虹粗仿宋"/>
          <w:sz w:val="28"/>
          <w:szCs w:val="28"/>
        </w:rPr>
        <w:t>产品标准符合：GB2749-2015或国家卫生、食品安全最新标准。</w:t>
      </w:r>
    </w:p>
    <w:p>
      <w:pPr>
        <w:ind w:firstLine="420" w:firstLineChars="150"/>
        <w:rPr>
          <w:rFonts w:ascii="彩虹粗仿宋" w:eastAsia="彩虹粗仿宋"/>
          <w:sz w:val="28"/>
          <w:szCs w:val="28"/>
        </w:rPr>
      </w:pPr>
      <w:r>
        <w:rPr>
          <w:rFonts w:hint="eastAsia" w:ascii="彩虹粗仿宋" w:eastAsia="彩虹粗仿宋"/>
          <w:sz w:val="28"/>
          <w:szCs w:val="28"/>
        </w:rPr>
        <w:t>（二）其他要求</w:t>
      </w:r>
    </w:p>
    <w:p>
      <w:pPr>
        <w:spacing w:line="540" w:lineRule="exact"/>
        <w:ind w:firstLine="560" w:firstLineChars="200"/>
        <w:rPr>
          <w:rFonts w:ascii="彩虹粗仿宋" w:eastAsia="彩虹粗仿宋"/>
          <w:sz w:val="28"/>
          <w:szCs w:val="28"/>
        </w:rPr>
      </w:pPr>
      <w:r>
        <w:rPr>
          <w:rFonts w:hint="eastAsia" w:ascii="彩虹粗仿宋" w:eastAsia="彩虹粗仿宋"/>
          <w:sz w:val="28"/>
          <w:szCs w:val="28"/>
        </w:rPr>
        <w:t xml:space="preserve">供应商必须遵守我国产品质量、食品卫生、计量等有关法律法规与政策规定，必须符合我方各项管理要求。发现供应商提供货物存在质量、卫生、计量等问题，根据国家相关规定和我方相关制度进行处理，由供应商承担全部责任。 </w:t>
      </w:r>
      <w:bookmarkStart w:id="0" w:name="OLE_LINK2"/>
      <w:bookmarkEnd w:id="0"/>
      <w:bookmarkStart w:id="1" w:name="OLE_LINK1"/>
      <w:bookmarkEnd w:id="1"/>
    </w:p>
    <w:p>
      <w:pPr>
        <w:spacing w:line="540" w:lineRule="exact"/>
        <w:ind w:firstLine="420" w:firstLineChars="150"/>
        <w:rPr>
          <w:rFonts w:ascii="彩虹粗仿宋" w:eastAsia="彩虹粗仿宋"/>
          <w:sz w:val="28"/>
          <w:szCs w:val="28"/>
        </w:rPr>
      </w:pPr>
      <w:r>
        <w:rPr>
          <w:rFonts w:hint="eastAsia" w:ascii="彩虹粗仿宋" w:eastAsia="彩虹粗仿宋"/>
          <w:sz w:val="28"/>
          <w:szCs w:val="28"/>
        </w:rPr>
        <w:t>四、供货要求</w:t>
      </w:r>
    </w:p>
    <w:p>
      <w:pPr>
        <w:spacing w:line="540" w:lineRule="exact"/>
        <w:ind w:left="281" w:leftChars="134" w:firstLine="280" w:firstLineChars="100"/>
        <w:rPr>
          <w:rFonts w:ascii="彩虹粗仿宋" w:eastAsia="彩虹粗仿宋"/>
          <w:sz w:val="28"/>
          <w:szCs w:val="28"/>
        </w:rPr>
      </w:pPr>
      <w:r>
        <w:rPr>
          <w:rFonts w:hint="eastAsia" w:ascii="彩虹粗仿宋" w:eastAsia="彩虹粗仿宋"/>
          <w:sz w:val="28"/>
          <w:szCs w:val="28"/>
        </w:rPr>
        <w:t>（1）供应商根据订货清单进行供货，供货时不得擅自变更品种</w:t>
      </w:r>
    </w:p>
    <w:p>
      <w:pPr>
        <w:spacing w:line="540" w:lineRule="exact"/>
        <w:rPr>
          <w:rFonts w:ascii="彩虹粗仿宋" w:eastAsia="彩虹粗仿宋"/>
          <w:sz w:val="28"/>
          <w:szCs w:val="28"/>
        </w:rPr>
      </w:pPr>
      <w:r>
        <w:rPr>
          <w:rFonts w:hint="eastAsia" w:ascii="彩虹粗仿宋" w:eastAsia="彩虹粗仿宋"/>
          <w:sz w:val="28"/>
          <w:szCs w:val="28"/>
        </w:rPr>
        <w:t>（如有变化必须提前24小时通知食堂管理人员）。</w:t>
      </w:r>
    </w:p>
    <w:p>
      <w:pPr>
        <w:spacing w:line="540" w:lineRule="exact"/>
        <w:ind w:left="281" w:leftChars="134" w:firstLine="280" w:firstLineChars="100"/>
        <w:rPr>
          <w:rFonts w:ascii="彩虹粗仿宋" w:eastAsia="彩虹粗仿宋"/>
          <w:sz w:val="28"/>
          <w:szCs w:val="28"/>
        </w:rPr>
      </w:pPr>
      <w:r>
        <w:rPr>
          <w:rFonts w:hint="eastAsia" w:ascii="彩虹粗仿宋" w:eastAsia="彩虹粗仿宋"/>
          <w:sz w:val="28"/>
          <w:szCs w:val="28"/>
        </w:rPr>
        <w:t>（2）供应商所提供的商品如需要进行粗加工的，必须按照我方</w:t>
      </w:r>
    </w:p>
    <w:p>
      <w:pPr>
        <w:spacing w:line="540" w:lineRule="exact"/>
        <w:rPr>
          <w:rFonts w:ascii="彩虹粗仿宋" w:eastAsia="彩虹粗仿宋"/>
          <w:sz w:val="28"/>
          <w:szCs w:val="28"/>
        </w:rPr>
      </w:pPr>
      <w:r>
        <w:rPr>
          <w:rFonts w:hint="eastAsia" w:ascii="彩虹粗仿宋" w:eastAsia="彩虹粗仿宋"/>
          <w:sz w:val="28"/>
          <w:szCs w:val="28"/>
        </w:rPr>
        <w:t>要求进行加工，不得收取任何加工费。</w:t>
      </w:r>
    </w:p>
    <w:p>
      <w:pPr>
        <w:spacing w:line="540" w:lineRule="exact"/>
        <w:ind w:left="281" w:leftChars="134" w:firstLine="280" w:firstLineChars="100"/>
        <w:rPr>
          <w:rFonts w:ascii="彩虹粗仿宋" w:eastAsia="彩虹粗仿宋"/>
          <w:sz w:val="28"/>
          <w:szCs w:val="28"/>
        </w:rPr>
      </w:pPr>
      <w:r>
        <w:rPr>
          <w:rFonts w:hint="eastAsia" w:ascii="彩虹粗仿宋" w:eastAsia="彩虹粗仿宋"/>
          <w:sz w:val="28"/>
          <w:szCs w:val="28"/>
        </w:rPr>
        <w:t>（3）供应商必须按照我方规定的时间和地点供货，并接受我方</w:t>
      </w:r>
    </w:p>
    <w:p>
      <w:pPr>
        <w:spacing w:line="540" w:lineRule="exact"/>
        <w:rPr>
          <w:rFonts w:ascii="彩虹粗仿宋" w:eastAsia="彩虹粗仿宋"/>
          <w:sz w:val="28"/>
          <w:szCs w:val="28"/>
        </w:rPr>
      </w:pPr>
      <w:r>
        <w:rPr>
          <w:rFonts w:hint="eastAsia" w:ascii="彩虹粗仿宋" w:eastAsia="彩虹粗仿宋"/>
          <w:sz w:val="28"/>
          <w:szCs w:val="28"/>
        </w:rPr>
        <w:t>验收，我方不再承担供货中产生的任何费用。</w:t>
      </w:r>
    </w:p>
    <w:p>
      <w:pPr>
        <w:spacing w:line="540" w:lineRule="exact"/>
        <w:ind w:firstLine="560" w:firstLineChars="200"/>
        <w:rPr>
          <w:rFonts w:ascii="彩虹粗仿宋" w:eastAsia="彩虹粗仿宋"/>
          <w:sz w:val="28"/>
          <w:szCs w:val="28"/>
        </w:rPr>
      </w:pPr>
      <w:r>
        <w:rPr>
          <w:rFonts w:hint="eastAsia" w:ascii="彩虹粗仿宋" w:eastAsia="彩虹粗仿宋"/>
          <w:sz w:val="28"/>
          <w:szCs w:val="28"/>
        </w:rPr>
        <w:t>（4）所有食材均应做好原辅料出入库登记管理、产成品出入库登记管理、出厂检测报告记录管理、第三方农产品有害物质检测报告记录管理；需进行加工的食材另须做好生产记录管理。</w:t>
      </w:r>
    </w:p>
    <w:p>
      <w:pPr>
        <w:spacing w:line="540" w:lineRule="exact"/>
        <w:ind w:firstLine="560" w:firstLineChars="200"/>
        <w:rPr>
          <w:rFonts w:ascii="彩虹粗仿宋" w:eastAsia="彩虹粗仿宋"/>
          <w:sz w:val="28"/>
          <w:szCs w:val="28"/>
        </w:rPr>
      </w:pPr>
      <w:r>
        <w:rPr>
          <w:rFonts w:hint="eastAsia" w:ascii="彩虹粗仿宋" w:eastAsia="彩虹粗仿宋"/>
          <w:sz w:val="28"/>
          <w:szCs w:val="28"/>
        </w:rPr>
        <w:t>（5）所有食材均须留样，留样地点、时限以国家标准及采购人要求为准。非预包装食材、生鲜食材留样保存48小时,留样品不低于125克，其余预包装类食材留样保存一周。</w:t>
      </w:r>
    </w:p>
    <w:p>
      <w:pPr>
        <w:spacing w:line="540" w:lineRule="exact"/>
        <w:ind w:firstLine="560" w:firstLineChars="200"/>
        <w:rPr>
          <w:rFonts w:ascii="彩虹粗仿宋" w:eastAsia="彩虹粗仿宋"/>
          <w:sz w:val="28"/>
          <w:szCs w:val="28"/>
        </w:rPr>
      </w:pPr>
      <w:r>
        <w:rPr>
          <w:rFonts w:hint="eastAsia" w:ascii="彩虹粗仿宋" w:eastAsia="彩虹粗仿宋"/>
          <w:sz w:val="28"/>
          <w:szCs w:val="28"/>
        </w:rPr>
        <w:t>（6）所有需配送产品必须符合产品加工运输的国家标准，并实行专车专人定点配送，按规定送到采购人指定的地方，并按存放要求堆放整齐。供应商须提供专职联系人员联系方式，负责联系（电话、微信、QQ信息）并确认食材种类、数量、配送时间及配送要求，信息交换方式等由双方自行商定。（提供联系人员的花名册）。供应商必须自行提供配送服务，不得将配送项目进行任何方式的转包。</w:t>
      </w:r>
    </w:p>
    <w:p>
      <w:pPr>
        <w:spacing w:line="540" w:lineRule="exact"/>
        <w:ind w:firstLine="560" w:firstLineChars="200"/>
        <w:rPr>
          <w:rFonts w:ascii="彩虹粗仿宋" w:eastAsia="彩虹粗仿宋"/>
          <w:sz w:val="28"/>
          <w:szCs w:val="28"/>
        </w:rPr>
      </w:pPr>
      <w:r>
        <w:rPr>
          <w:rFonts w:hint="eastAsia" w:ascii="彩虹粗仿宋" w:eastAsia="彩虹粗仿宋"/>
          <w:sz w:val="28"/>
          <w:szCs w:val="28"/>
        </w:rPr>
        <w:t>（7）供应商应确保配送工具做到每日清洁、消毒，避免二次污染。供应商应承诺中标后应符合相关卫生要求，做到每日清洗、消毒并做好消毒记录，采购人将不定时抽查。</w:t>
      </w:r>
    </w:p>
    <w:p>
      <w:pPr>
        <w:spacing w:line="540" w:lineRule="exact"/>
        <w:ind w:firstLine="560" w:firstLineChars="200"/>
        <w:rPr>
          <w:rFonts w:ascii="彩虹粗仿宋" w:eastAsia="彩虹粗仿宋"/>
          <w:sz w:val="28"/>
          <w:szCs w:val="28"/>
        </w:rPr>
      </w:pPr>
      <w:r>
        <w:rPr>
          <w:rFonts w:hint="eastAsia" w:ascii="彩虹粗仿宋" w:eastAsia="彩虹粗仿宋"/>
          <w:sz w:val="28"/>
          <w:szCs w:val="28"/>
        </w:rPr>
        <w:t>（8）供应商在日常供应时，须保质保量进行配送，若出现食品安全问题、服务质量问题等情况时，采购人将会按照考核办法处理。供应商须按照采购人的相关管理制度进行配送，采购人有权对中标人日常配送工作及数据报送等工作进行考核，考核结果作为续签合同、付款等的参考依据。</w:t>
      </w:r>
    </w:p>
    <w:p>
      <w:pPr>
        <w:spacing w:line="540" w:lineRule="exact"/>
        <w:ind w:firstLine="420" w:firstLineChars="150"/>
        <w:rPr>
          <w:rFonts w:ascii="彩虹粗仿宋" w:eastAsia="彩虹粗仿宋"/>
          <w:sz w:val="28"/>
          <w:szCs w:val="28"/>
        </w:rPr>
      </w:pPr>
      <w:r>
        <w:rPr>
          <w:rFonts w:hint="eastAsia" w:ascii="彩虹粗仿宋" w:eastAsia="彩虹粗仿宋"/>
          <w:sz w:val="28"/>
          <w:szCs w:val="28"/>
        </w:rPr>
        <w:t>五、报价及其他相关要求</w:t>
      </w:r>
    </w:p>
    <w:p>
      <w:pPr>
        <w:ind w:firstLine="560" w:firstLineChars="200"/>
        <w:rPr>
          <w:rFonts w:ascii="彩虹粗仿宋" w:eastAsia="彩虹粗仿宋"/>
          <w:sz w:val="28"/>
          <w:szCs w:val="28"/>
        </w:rPr>
      </w:pPr>
      <w:r>
        <w:rPr>
          <w:rFonts w:hint="eastAsia" w:ascii="彩虹粗仿宋" w:eastAsia="彩虹粗仿宋"/>
          <w:sz w:val="28"/>
          <w:szCs w:val="28"/>
        </w:rPr>
        <w:t>1.本项目采购价格采用以基准价格下浮的方式确定，本次报价采用下浮比例进行报价。执行价格=市场基准价格*投标折扣率（例如：市场基准价格=100元，投标折扣率为90%，执行价格：100*0.90=90元）。</w:t>
      </w:r>
    </w:p>
    <w:p>
      <w:pPr>
        <w:ind w:firstLine="560" w:firstLineChars="200"/>
        <w:rPr>
          <w:rFonts w:ascii="彩虹粗仿宋" w:eastAsia="彩虹粗仿宋"/>
          <w:sz w:val="28"/>
          <w:szCs w:val="28"/>
        </w:rPr>
      </w:pPr>
      <w:r>
        <w:rPr>
          <w:rFonts w:hint="eastAsia" w:ascii="彩虹粗仿宋" w:eastAsia="彩虹粗仿宋"/>
          <w:sz w:val="28"/>
          <w:szCs w:val="28"/>
        </w:rPr>
        <w:t>2.投标人报出折扣率必须为固定报价，不接受区间报价。</w:t>
      </w:r>
    </w:p>
    <w:p>
      <w:pPr>
        <w:pStyle w:val="2"/>
        <w:spacing w:line="360" w:lineRule="auto"/>
        <w:ind w:firstLine="560" w:firstLineChars="200"/>
        <w:rPr>
          <w:rFonts w:ascii="彩虹粗仿宋" w:eastAsia="彩虹粗仿宋"/>
          <w:sz w:val="28"/>
          <w:szCs w:val="28"/>
        </w:rPr>
      </w:pPr>
      <w:r>
        <w:rPr>
          <w:rFonts w:hint="eastAsia" w:ascii="彩虹粗仿宋" w:eastAsia="彩虹粗仿宋"/>
          <w:sz w:val="28"/>
          <w:szCs w:val="28"/>
        </w:rPr>
        <w:t>3.市场基准价格采用每月第二周第一个工作日市场调查的平均价格执行。该价格作为市场基准价格进行下浮，双方共同签字认可（每月第二周第三个工作日前完成）。价格未覆盖的品种，以每月第二周第一个工作日双方在采购人附近的市场进行综合询价后作为货物基准价格。</w:t>
      </w:r>
    </w:p>
    <w:p>
      <w:pPr>
        <w:ind w:firstLine="560"/>
        <w:rPr>
          <w:rFonts w:ascii="彩虹粗仿宋" w:eastAsia="彩虹粗仿宋"/>
          <w:sz w:val="28"/>
          <w:szCs w:val="28"/>
        </w:rPr>
      </w:pPr>
      <w:r>
        <w:rPr>
          <w:rFonts w:hint="eastAsia" w:ascii="彩虹粗仿宋" w:eastAsia="彩虹粗仿宋"/>
          <w:sz w:val="28"/>
          <w:szCs w:val="28"/>
        </w:rPr>
        <w:t>4.价格调整周期</w:t>
      </w:r>
    </w:p>
    <w:p>
      <w:pPr>
        <w:ind w:firstLine="560"/>
        <w:rPr>
          <w:rFonts w:ascii="彩虹粗仿宋" w:eastAsia="彩虹粗仿宋"/>
          <w:sz w:val="28"/>
          <w:szCs w:val="28"/>
        </w:rPr>
      </w:pPr>
      <w:r>
        <w:rPr>
          <w:rFonts w:hint="eastAsia" w:ascii="彩虹粗仿宋" w:eastAsia="彩虹粗仿宋"/>
          <w:sz w:val="28"/>
          <w:szCs w:val="28"/>
        </w:rPr>
        <w:t>价格按月调整。经双方确定价格后，每月第四周第一个工作日开始按定价后的价格执行供货（特价商品价格不计算在内）。合同执行期内，不论中标人供应货物的来源何地均按中标折扣率结算，中标折扣率在服务期内不作调整。</w:t>
      </w:r>
    </w:p>
    <w:p>
      <w:pPr>
        <w:ind w:firstLine="560"/>
        <w:rPr>
          <w:rFonts w:ascii="彩虹粗仿宋" w:eastAsia="彩虹粗仿宋"/>
          <w:sz w:val="28"/>
          <w:szCs w:val="28"/>
        </w:rPr>
      </w:pPr>
      <w:r>
        <w:rPr>
          <w:rFonts w:hint="eastAsia" w:ascii="彩虹粗仿宋" w:eastAsia="彩虹粗仿宋"/>
          <w:sz w:val="28"/>
          <w:szCs w:val="28"/>
        </w:rPr>
        <w:t>5.其他</w:t>
      </w:r>
    </w:p>
    <w:p>
      <w:pPr>
        <w:ind w:firstLine="560"/>
        <w:rPr>
          <w:rFonts w:ascii="彩虹粗仿宋" w:eastAsia="彩虹粗仿宋"/>
          <w:sz w:val="28"/>
          <w:szCs w:val="28"/>
        </w:rPr>
      </w:pPr>
      <w:r>
        <w:rPr>
          <w:rFonts w:hint="eastAsia" w:ascii="彩虹粗仿宋" w:eastAsia="彩虹粗仿宋"/>
          <w:sz w:val="28"/>
          <w:szCs w:val="28"/>
        </w:rPr>
        <w:t>若在确定基准价后市场价格涨/降幅度超过10%，中标人有义务提出申请/告知，经双方协议、核实，重新询价后再定市场价格。中标人未尽告知价格降幅义务的，可取消其配送资格。</w:t>
      </w:r>
    </w:p>
    <w:p>
      <w:pPr>
        <w:spacing w:line="540" w:lineRule="exact"/>
        <w:ind w:firstLine="560" w:firstLineChars="200"/>
        <w:rPr>
          <w:rFonts w:ascii="彩虹粗仿宋" w:eastAsia="彩虹粗仿宋"/>
          <w:sz w:val="28"/>
          <w:szCs w:val="28"/>
        </w:rPr>
      </w:pPr>
      <w:r>
        <w:rPr>
          <w:rFonts w:hint="eastAsia" w:ascii="彩虹粗仿宋" w:eastAsia="彩虹粗仿宋"/>
          <w:sz w:val="28"/>
          <w:szCs w:val="28"/>
        </w:rPr>
        <w:t>六、验收及服务要求</w:t>
      </w:r>
    </w:p>
    <w:p>
      <w:pPr>
        <w:ind w:firstLine="560"/>
        <w:rPr>
          <w:rFonts w:ascii="彩虹粗仿宋" w:eastAsia="彩虹粗仿宋"/>
          <w:sz w:val="28"/>
          <w:szCs w:val="28"/>
        </w:rPr>
      </w:pPr>
      <w:r>
        <w:rPr>
          <w:rFonts w:hint="eastAsia" w:ascii="彩虹粗仿宋" w:eastAsia="彩虹粗仿宋"/>
          <w:sz w:val="28"/>
          <w:szCs w:val="28"/>
        </w:rPr>
        <w:t>验收由采购人、供应方，双方现场检验，对供应产品的质量无异议数量准确无误后，双方签字，各自留存。对不符合要求的，一律退回，供应商无条件重新更换配送货物。</w:t>
      </w:r>
    </w:p>
    <w:p>
      <w:pPr>
        <w:spacing w:line="540" w:lineRule="exact"/>
        <w:ind w:firstLine="560" w:firstLineChars="200"/>
        <w:rPr>
          <w:rFonts w:ascii="彩虹粗仿宋" w:eastAsia="彩虹粗仿宋"/>
          <w:sz w:val="28"/>
          <w:szCs w:val="28"/>
        </w:rPr>
      </w:pPr>
      <w:r>
        <w:rPr>
          <w:rFonts w:hint="eastAsia" w:ascii="彩虹粗仿宋" w:eastAsia="彩虹粗仿宋"/>
          <w:sz w:val="28"/>
          <w:szCs w:val="28"/>
        </w:rPr>
        <w:t>七、款项支付要求</w:t>
      </w:r>
    </w:p>
    <w:p>
      <w:pPr>
        <w:ind w:firstLine="560"/>
        <w:rPr>
          <w:rFonts w:ascii="彩虹粗仿宋" w:eastAsia="彩虹粗仿宋"/>
          <w:sz w:val="28"/>
          <w:szCs w:val="28"/>
        </w:rPr>
      </w:pPr>
      <w:r>
        <w:rPr>
          <w:rFonts w:hint="eastAsia" w:ascii="彩虹粗仿宋" w:eastAsia="彩虹粗仿宋"/>
          <w:sz w:val="28"/>
          <w:szCs w:val="28"/>
        </w:rPr>
        <w:t>每月上旬核算供应商上月食材供应量，食堂结算人员复核双方签字确认的送货单，按核对确认结果通知供应商项目经理开具国家增值税发票(普票)。食堂收到供应商提供的国家增值税发票、销售货物清单等凭据，确认无误后十五个工作日内以对公转账方式支付上月货款。</w:t>
      </w:r>
    </w:p>
    <w:p>
      <w:pPr>
        <w:ind w:firstLine="560"/>
        <w:rPr>
          <w:rFonts w:ascii="彩虹粗仿宋" w:eastAsia="彩虹粗仿宋"/>
          <w:sz w:val="28"/>
          <w:szCs w:val="28"/>
        </w:rPr>
      </w:pPr>
      <w:r>
        <w:rPr>
          <w:rFonts w:hint="eastAsia" w:ascii="彩虹粗仿宋" w:eastAsia="彩虹粗仿宋"/>
          <w:sz w:val="28"/>
          <w:szCs w:val="28"/>
        </w:rPr>
        <w:t>八、违约责任</w:t>
      </w:r>
    </w:p>
    <w:p>
      <w:pPr>
        <w:ind w:firstLine="560"/>
        <w:rPr>
          <w:rFonts w:ascii="彩虹粗仿宋" w:eastAsia="彩虹粗仿宋"/>
          <w:sz w:val="28"/>
          <w:szCs w:val="28"/>
        </w:rPr>
      </w:pPr>
      <w:r>
        <w:rPr>
          <w:rFonts w:hint="eastAsia" w:ascii="彩虹粗仿宋" w:eastAsia="彩虹粗仿宋"/>
          <w:sz w:val="28"/>
          <w:szCs w:val="28"/>
        </w:rPr>
        <w:t>中标人出现以下违约情况时，采购人直接从中标人当月食材货款总额中扣除。</w:t>
      </w:r>
    </w:p>
    <w:p>
      <w:pPr>
        <w:ind w:firstLine="560"/>
        <w:rPr>
          <w:rFonts w:ascii="彩虹粗仿宋" w:eastAsia="彩虹粗仿宋"/>
          <w:sz w:val="28"/>
          <w:szCs w:val="28"/>
        </w:rPr>
      </w:pPr>
      <w:r>
        <w:rPr>
          <w:rFonts w:hint="eastAsia" w:ascii="彩虹粗仿宋" w:eastAsia="彩虹粗仿宋"/>
          <w:sz w:val="28"/>
          <w:szCs w:val="28"/>
        </w:rPr>
        <w:t>（1）供货及时性：</w:t>
      </w:r>
    </w:p>
    <w:p>
      <w:pPr>
        <w:ind w:firstLine="560"/>
        <w:rPr>
          <w:rFonts w:ascii="彩虹粗仿宋" w:eastAsia="彩虹粗仿宋"/>
          <w:sz w:val="28"/>
          <w:szCs w:val="28"/>
        </w:rPr>
      </w:pPr>
      <w:r>
        <w:rPr>
          <w:rFonts w:hint="eastAsia" w:ascii="彩虹粗仿宋" w:eastAsia="彩虹粗仿宋"/>
          <w:sz w:val="28"/>
          <w:szCs w:val="28"/>
        </w:rPr>
        <w:t>①供应商供货不及时，超出规定供货时间30分钟以上的，未影响采购人正常供餐，每次需从当月货款总额中扣除200元。</w:t>
      </w:r>
    </w:p>
    <w:p>
      <w:pPr>
        <w:ind w:firstLine="560"/>
        <w:rPr>
          <w:rFonts w:ascii="彩虹粗仿宋" w:eastAsia="彩虹粗仿宋"/>
          <w:sz w:val="28"/>
          <w:szCs w:val="28"/>
        </w:rPr>
      </w:pPr>
      <w:r>
        <w:rPr>
          <w:rFonts w:hint="eastAsia" w:ascii="彩虹粗仿宋" w:eastAsia="彩虹粗仿宋"/>
          <w:sz w:val="28"/>
          <w:szCs w:val="28"/>
        </w:rPr>
        <w:t>②供应商因供货不及时，影响采购人正常供餐，每次需从当月货款总额中扣除500元，并保留追究相关责任的权利。</w:t>
      </w:r>
    </w:p>
    <w:p>
      <w:pPr>
        <w:ind w:firstLine="560"/>
        <w:rPr>
          <w:rFonts w:ascii="彩虹粗仿宋" w:eastAsia="彩虹粗仿宋"/>
          <w:sz w:val="28"/>
          <w:szCs w:val="28"/>
        </w:rPr>
      </w:pPr>
      <w:r>
        <w:rPr>
          <w:rFonts w:hint="eastAsia" w:ascii="彩虹粗仿宋" w:eastAsia="彩虹粗仿宋"/>
          <w:sz w:val="28"/>
          <w:szCs w:val="28"/>
        </w:rPr>
        <w:t>（2）食材标准、数量及质量：</w:t>
      </w:r>
    </w:p>
    <w:p>
      <w:pPr>
        <w:ind w:firstLine="560"/>
        <w:rPr>
          <w:rFonts w:ascii="彩虹粗仿宋" w:eastAsia="彩虹粗仿宋"/>
          <w:sz w:val="28"/>
          <w:szCs w:val="28"/>
        </w:rPr>
      </w:pPr>
      <w:r>
        <w:rPr>
          <w:rFonts w:hint="eastAsia" w:ascii="彩虹粗仿宋" w:eastAsia="彩虹粗仿宋"/>
          <w:sz w:val="28"/>
          <w:szCs w:val="28"/>
        </w:rPr>
        <w:t>①供应商未按照与采购人约定的合同义务执行的，每次需从当月货款总额中扣除200元。</w:t>
      </w:r>
    </w:p>
    <w:p>
      <w:pPr>
        <w:ind w:firstLine="560"/>
        <w:rPr>
          <w:rFonts w:ascii="彩虹粗仿宋" w:eastAsia="彩虹粗仿宋"/>
          <w:sz w:val="28"/>
          <w:szCs w:val="28"/>
        </w:rPr>
      </w:pPr>
      <w:r>
        <w:rPr>
          <w:rFonts w:hint="eastAsia" w:ascii="彩虹粗仿宋" w:eastAsia="彩虹粗仿宋"/>
          <w:sz w:val="28"/>
          <w:szCs w:val="28"/>
        </w:rPr>
        <w:t>②供应商配送食材不符合要求的，每次需从当月货款总额中扣除500元，并无条件换货，并保留追究相关责任的权利。</w:t>
      </w:r>
    </w:p>
    <w:p>
      <w:pPr>
        <w:ind w:firstLine="560"/>
        <w:rPr>
          <w:rFonts w:ascii="彩虹粗仿宋" w:eastAsia="彩虹粗仿宋"/>
          <w:sz w:val="28"/>
          <w:szCs w:val="28"/>
        </w:rPr>
      </w:pPr>
      <w:r>
        <w:rPr>
          <w:rFonts w:hint="eastAsia" w:ascii="彩虹粗仿宋" w:eastAsia="彩虹粗仿宋"/>
          <w:sz w:val="28"/>
          <w:szCs w:val="28"/>
        </w:rPr>
        <w:t>③供应商配送的食材重量不符，相差1公斤（含）以上的，每次需从当月货款总额中扣除500元，并及时补足食材重量，并保留追究相关责任的权利。</w:t>
      </w:r>
    </w:p>
    <w:p>
      <w:pPr>
        <w:ind w:firstLine="560"/>
        <w:rPr>
          <w:rFonts w:ascii="彩虹粗仿宋" w:eastAsia="彩虹粗仿宋"/>
          <w:sz w:val="28"/>
          <w:szCs w:val="28"/>
        </w:rPr>
      </w:pPr>
      <w:r>
        <w:rPr>
          <w:rFonts w:hint="eastAsia" w:ascii="彩虹粗仿宋" w:eastAsia="彩虹粗仿宋"/>
          <w:sz w:val="28"/>
          <w:szCs w:val="28"/>
        </w:rPr>
        <w:t>④供应商配送的畜肉、禽肉、水产品注水、加冰等，每次需从当月货款总额中扣除500元，并无条件换货，并保留追究相关责任的权利。</w:t>
      </w:r>
    </w:p>
    <w:p>
      <w:pPr>
        <w:ind w:firstLine="560"/>
        <w:rPr>
          <w:rFonts w:ascii="彩虹粗仿宋" w:eastAsia="彩虹粗仿宋"/>
          <w:sz w:val="28"/>
          <w:szCs w:val="28"/>
        </w:rPr>
      </w:pPr>
      <w:r>
        <w:rPr>
          <w:rFonts w:hint="eastAsia" w:ascii="彩虹粗仿宋" w:eastAsia="彩虹粗仿宋"/>
          <w:sz w:val="28"/>
          <w:szCs w:val="28"/>
        </w:rPr>
        <w:t>⑤供应商掺假、假冒，每次需从当月货款总额中扣除1000元，并无条件换货，并保留追究相关责任的权利。</w:t>
      </w:r>
    </w:p>
    <w:p>
      <w:pPr>
        <w:ind w:firstLine="560"/>
        <w:rPr>
          <w:rFonts w:ascii="彩虹粗仿宋" w:eastAsia="彩虹粗仿宋"/>
          <w:sz w:val="28"/>
          <w:szCs w:val="28"/>
        </w:rPr>
      </w:pPr>
      <w:r>
        <w:rPr>
          <w:rFonts w:hint="eastAsia" w:ascii="彩虹粗仿宋" w:eastAsia="彩虹粗仿宋"/>
          <w:sz w:val="28"/>
          <w:szCs w:val="28"/>
        </w:rPr>
        <w:t>（3）食材价格：供应商违反食材价格要求，每次需从当月货款总额中扣除500元，并保留追究相关责任的权利。</w:t>
      </w:r>
    </w:p>
    <w:p>
      <w:pPr>
        <w:ind w:firstLine="560"/>
        <w:rPr>
          <w:rFonts w:ascii="彩虹粗仿宋" w:eastAsia="彩虹粗仿宋"/>
          <w:sz w:val="28"/>
          <w:szCs w:val="28"/>
        </w:rPr>
      </w:pPr>
      <w:r>
        <w:rPr>
          <w:rFonts w:hint="eastAsia" w:ascii="彩虹粗仿宋" w:eastAsia="彩虹粗仿宋"/>
          <w:sz w:val="28"/>
          <w:szCs w:val="28"/>
        </w:rPr>
        <w:t>（4）因供应商管理不善或操作不当等原因造成采购人、供应商或第三方人身、财产损失或其它安全生产事故的，由供应商承担责任并负责善后处理，造成采购人经济损失的，供应商应给予采购人经济赔偿。产生事故的直接原因，以相关主管部门的鉴定为准。</w:t>
      </w:r>
    </w:p>
    <w:p>
      <w:pPr>
        <w:ind w:firstLine="560"/>
        <w:rPr>
          <w:rFonts w:ascii="彩虹粗仿宋" w:eastAsia="彩虹粗仿宋"/>
          <w:sz w:val="28"/>
          <w:szCs w:val="28"/>
        </w:rPr>
      </w:pPr>
      <w:r>
        <w:rPr>
          <w:rFonts w:hint="eastAsia" w:ascii="彩虹粗仿宋" w:eastAsia="彩虹粗仿宋"/>
          <w:sz w:val="28"/>
          <w:szCs w:val="28"/>
        </w:rPr>
        <w:t>九、考核办法</w:t>
      </w:r>
    </w:p>
    <w:p>
      <w:pPr>
        <w:ind w:firstLine="560" w:firstLineChars="200"/>
        <w:rPr>
          <w:rFonts w:ascii="彩虹粗仿宋" w:eastAsia="彩虹粗仿宋"/>
          <w:sz w:val="28"/>
          <w:szCs w:val="28"/>
        </w:rPr>
      </w:pPr>
      <w:r>
        <w:rPr>
          <w:rFonts w:hint="eastAsia" w:ascii="彩虹粗仿宋" w:eastAsia="彩虹粗仿宋"/>
          <w:sz w:val="28"/>
          <w:szCs w:val="28"/>
        </w:rPr>
        <w:t>供应商必须承诺（提供承诺函原件）按我行的供应商考核办法（见供应商履约考核评价表）和规定接受考核。</w:t>
      </w:r>
    </w:p>
    <w:p>
      <w:pPr>
        <w:spacing w:line="540" w:lineRule="exact"/>
        <w:ind w:firstLine="560" w:firstLineChars="200"/>
        <w:rPr>
          <w:rFonts w:ascii="彩虹粗仿宋" w:eastAsia="彩虹粗仿宋"/>
          <w:sz w:val="28"/>
          <w:szCs w:val="28"/>
        </w:rPr>
      </w:pPr>
      <w:r>
        <w:rPr>
          <w:rFonts w:hint="eastAsia" w:ascii="彩虹粗仿宋" w:eastAsia="彩虹粗仿宋"/>
          <w:sz w:val="28"/>
          <w:szCs w:val="28"/>
        </w:rPr>
        <w:t>（1）成交供应商必须承诺一旦因成交供应商配送产品原因发生食品安全事故，采购人立即停止供货并取消成交供应商配送资格并追究相应责任。</w:t>
      </w:r>
    </w:p>
    <w:p>
      <w:pPr>
        <w:spacing w:line="540" w:lineRule="exact"/>
        <w:ind w:firstLine="560" w:firstLineChars="200"/>
        <w:rPr>
          <w:rFonts w:ascii="彩虹粗仿宋" w:eastAsia="彩虹粗仿宋"/>
          <w:sz w:val="28"/>
          <w:szCs w:val="28"/>
        </w:rPr>
      </w:pPr>
      <w:r>
        <w:rPr>
          <w:rFonts w:hint="eastAsia" w:ascii="彩虹粗仿宋" w:eastAsia="彩虹粗仿宋"/>
          <w:sz w:val="28"/>
          <w:szCs w:val="28"/>
        </w:rPr>
        <w:t>（2）采购人按日填写收货记录表、退换货记录表，并按季汇总供应商情况，对供应商履约情况开展评价，履约评价与质保金挂钩。</w:t>
      </w:r>
    </w:p>
    <w:p>
      <w:pPr>
        <w:ind w:firstLine="560"/>
        <w:jc w:val="center"/>
        <w:rPr>
          <w:rFonts w:ascii="彩虹粗仿宋" w:eastAsia="彩虹粗仿宋"/>
          <w:sz w:val="28"/>
          <w:szCs w:val="28"/>
        </w:rPr>
      </w:pPr>
      <w:r>
        <w:rPr>
          <w:rFonts w:hint="eastAsia" w:ascii="彩虹粗仿宋" w:eastAsia="彩虹粗仿宋"/>
          <w:sz w:val="28"/>
          <w:szCs w:val="28"/>
        </w:rPr>
        <w:t>职工食堂供应商履约考核评价表</w:t>
      </w:r>
    </w:p>
    <w:tbl>
      <w:tblPr>
        <w:tblStyle w:val="4"/>
        <w:tblW w:w="10864" w:type="dxa"/>
        <w:tblInd w:w="-1139" w:type="dxa"/>
        <w:tblLayout w:type="autofit"/>
        <w:tblCellMar>
          <w:top w:w="0" w:type="dxa"/>
          <w:left w:w="108" w:type="dxa"/>
          <w:bottom w:w="0" w:type="dxa"/>
          <w:right w:w="108" w:type="dxa"/>
        </w:tblCellMar>
      </w:tblPr>
      <w:tblGrid>
        <w:gridCol w:w="1779"/>
        <w:gridCol w:w="1024"/>
        <w:gridCol w:w="1025"/>
        <w:gridCol w:w="1024"/>
        <w:gridCol w:w="985"/>
        <w:gridCol w:w="1272"/>
        <w:gridCol w:w="1537"/>
        <w:gridCol w:w="1459"/>
        <w:gridCol w:w="759"/>
      </w:tblGrid>
      <w:tr>
        <w:tblPrEx>
          <w:tblCellMar>
            <w:top w:w="0" w:type="dxa"/>
            <w:left w:w="108" w:type="dxa"/>
            <w:bottom w:w="0" w:type="dxa"/>
            <w:right w:w="108" w:type="dxa"/>
          </w:tblCellMar>
        </w:tblPrEx>
        <w:trPr>
          <w:trHeight w:val="497" w:hRule="atLeast"/>
        </w:trPr>
        <w:tc>
          <w:tcPr>
            <w:tcW w:w="1779" w:type="dxa"/>
            <w:vMerge w:val="restart"/>
            <w:tcBorders>
              <w:top w:val="single" w:color="auto" w:sz="4" w:space="0"/>
              <w:left w:val="single" w:color="auto" w:sz="4" w:space="0"/>
              <w:bottom w:val="single" w:color="000000" w:sz="4" w:space="0"/>
              <w:right w:val="single" w:color="auto" w:sz="4" w:space="0"/>
            </w:tcBorders>
            <w:vAlign w:val="center"/>
          </w:tcPr>
          <w:p>
            <w:pPr>
              <w:widowControl/>
              <w:ind w:right="397" w:rightChars="189"/>
              <w:jc w:val="center"/>
              <w:rPr>
                <w:rFonts w:ascii="宋体" w:hAnsi="宋体" w:cs="宋体"/>
                <w:kern w:val="0"/>
                <w:sz w:val="20"/>
                <w:szCs w:val="20"/>
              </w:rPr>
            </w:pPr>
            <w:r>
              <w:rPr>
                <w:rFonts w:hint="eastAsia" w:ascii="宋体" w:hAnsi="宋体" w:cs="宋体"/>
                <w:kern w:val="0"/>
                <w:sz w:val="20"/>
                <w:szCs w:val="20"/>
              </w:rPr>
              <w:t xml:space="preserve">日期 </w:t>
            </w:r>
          </w:p>
        </w:tc>
        <w:tc>
          <w:tcPr>
            <w:tcW w:w="4058" w:type="dxa"/>
            <w:gridSpan w:val="4"/>
            <w:tcBorders>
              <w:top w:val="single" w:color="auto" w:sz="4" w:space="0"/>
              <w:left w:val="nil"/>
              <w:bottom w:val="nil"/>
              <w:right w:val="single" w:color="000000" w:sz="4" w:space="0"/>
            </w:tcBorders>
            <w:noWrap/>
            <w:vAlign w:val="center"/>
          </w:tcPr>
          <w:p>
            <w:pPr>
              <w:widowControl/>
              <w:jc w:val="center"/>
              <w:rPr>
                <w:rFonts w:ascii="宋体" w:hAnsi="宋体" w:cs="宋体"/>
                <w:kern w:val="0"/>
                <w:sz w:val="20"/>
                <w:szCs w:val="20"/>
              </w:rPr>
            </w:pPr>
            <w:r>
              <w:rPr>
                <w:rFonts w:hint="eastAsia" w:ascii="宋体" w:hAnsi="宋体" w:cs="宋体"/>
                <w:kern w:val="0"/>
                <w:sz w:val="20"/>
                <w:szCs w:val="20"/>
              </w:rPr>
              <w:t>商品品质情况考核（80分）</w:t>
            </w:r>
          </w:p>
        </w:tc>
        <w:tc>
          <w:tcPr>
            <w:tcW w:w="4268" w:type="dxa"/>
            <w:gridSpan w:val="3"/>
            <w:tcBorders>
              <w:top w:val="single" w:color="auto" w:sz="4" w:space="0"/>
              <w:left w:val="nil"/>
              <w:bottom w:val="nil"/>
              <w:right w:val="single" w:color="000000" w:sz="4" w:space="0"/>
            </w:tcBorders>
            <w:noWrap/>
            <w:vAlign w:val="center"/>
          </w:tcPr>
          <w:p>
            <w:pPr>
              <w:widowControl/>
              <w:jc w:val="center"/>
              <w:rPr>
                <w:rFonts w:ascii="宋体" w:hAnsi="宋体" w:cs="宋体"/>
                <w:kern w:val="0"/>
                <w:sz w:val="20"/>
                <w:szCs w:val="20"/>
              </w:rPr>
            </w:pPr>
            <w:r>
              <w:rPr>
                <w:rFonts w:hint="eastAsia" w:ascii="宋体" w:hAnsi="宋体" w:cs="宋体"/>
                <w:kern w:val="0"/>
                <w:sz w:val="20"/>
                <w:szCs w:val="20"/>
              </w:rPr>
              <w:t>商品配送情况考核（20分）</w:t>
            </w:r>
          </w:p>
        </w:tc>
        <w:tc>
          <w:tcPr>
            <w:tcW w:w="759" w:type="dxa"/>
            <w:tcBorders>
              <w:top w:val="single" w:color="auto" w:sz="4" w:space="0"/>
              <w:left w:val="nil"/>
              <w:bottom w:val="nil"/>
              <w:right w:val="single" w:color="auto" w:sz="4" w:space="0"/>
            </w:tcBorders>
            <w:noWrap/>
            <w:vAlign w:val="center"/>
          </w:tcPr>
          <w:p>
            <w:pPr>
              <w:widowControl/>
              <w:jc w:val="center"/>
              <w:rPr>
                <w:rFonts w:ascii="宋体" w:hAnsi="宋体" w:cs="宋体"/>
                <w:kern w:val="0"/>
                <w:sz w:val="20"/>
                <w:szCs w:val="20"/>
              </w:rPr>
            </w:pPr>
            <w:r>
              <w:rPr>
                <w:rFonts w:hint="eastAsia" w:ascii="宋体" w:hAnsi="宋体" w:cs="宋体"/>
                <w:kern w:val="0"/>
                <w:sz w:val="20"/>
                <w:szCs w:val="20"/>
              </w:rPr>
              <w:t>得分合计</w:t>
            </w:r>
          </w:p>
        </w:tc>
      </w:tr>
      <w:tr>
        <w:tblPrEx>
          <w:tblCellMar>
            <w:top w:w="0" w:type="dxa"/>
            <w:left w:w="108" w:type="dxa"/>
            <w:bottom w:w="0" w:type="dxa"/>
            <w:right w:w="108" w:type="dxa"/>
          </w:tblCellMar>
        </w:tblPrEx>
        <w:trPr>
          <w:trHeight w:val="1015" w:hRule="atLeast"/>
        </w:trPr>
        <w:tc>
          <w:tcPr>
            <w:tcW w:w="0" w:type="auto"/>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kern w:val="0"/>
                <w:sz w:val="20"/>
                <w:szCs w:val="20"/>
              </w:rPr>
            </w:pPr>
          </w:p>
        </w:tc>
        <w:tc>
          <w:tcPr>
            <w:tcW w:w="1024"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商品品质</w:t>
            </w:r>
            <w:r>
              <w:rPr>
                <w:rFonts w:hint="eastAsia" w:ascii="宋体" w:hAnsi="宋体" w:cs="宋体"/>
                <w:kern w:val="0"/>
                <w:sz w:val="20"/>
                <w:szCs w:val="20"/>
              </w:rPr>
              <w:br w:type="textWrapping"/>
            </w:r>
            <w:r>
              <w:rPr>
                <w:rFonts w:hint="eastAsia" w:ascii="宋体" w:hAnsi="宋体" w:cs="宋体"/>
                <w:kern w:val="0"/>
                <w:sz w:val="20"/>
                <w:szCs w:val="20"/>
              </w:rPr>
              <w:t>（60分）</w:t>
            </w:r>
          </w:p>
        </w:tc>
        <w:tc>
          <w:tcPr>
            <w:tcW w:w="1025"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商品卫生</w:t>
            </w:r>
            <w:r>
              <w:rPr>
                <w:rFonts w:hint="eastAsia" w:ascii="宋体" w:hAnsi="宋体" w:cs="宋体"/>
                <w:kern w:val="0"/>
                <w:sz w:val="20"/>
                <w:szCs w:val="20"/>
              </w:rPr>
              <w:br w:type="textWrapping"/>
            </w:r>
            <w:r>
              <w:rPr>
                <w:rFonts w:hint="eastAsia" w:ascii="宋体" w:hAnsi="宋体" w:cs="宋体"/>
                <w:kern w:val="0"/>
                <w:sz w:val="20"/>
                <w:szCs w:val="20"/>
              </w:rPr>
              <w:t>（10分）</w:t>
            </w:r>
          </w:p>
        </w:tc>
        <w:tc>
          <w:tcPr>
            <w:tcW w:w="1024"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商品计量</w:t>
            </w:r>
            <w:r>
              <w:rPr>
                <w:rFonts w:hint="eastAsia" w:ascii="宋体" w:hAnsi="宋体" w:cs="宋体"/>
                <w:kern w:val="0"/>
                <w:sz w:val="20"/>
                <w:szCs w:val="20"/>
              </w:rPr>
              <w:br w:type="textWrapping"/>
            </w:r>
            <w:r>
              <w:rPr>
                <w:rFonts w:hint="eastAsia" w:ascii="宋体" w:hAnsi="宋体" w:cs="宋体"/>
                <w:kern w:val="0"/>
                <w:sz w:val="20"/>
                <w:szCs w:val="20"/>
              </w:rPr>
              <w:t>（10分）</w:t>
            </w:r>
          </w:p>
        </w:tc>
        <w:tc>
          <w:tcPr>
            <w:tcW w:w="985"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得分小计（分）</w:t>
            </w:r>
          </w:p>
        </w:tc>
        <w:tc>
          <w:tcPr>
            <w:tcW w:w="1272"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配送时间响应度</w:t>
            </w:r>
            <w:r>
              <w:rPr>
                <w:rFonts w:hint="eastAsia" w:ascii="宋体" w:hAnsi="宋体" w:cs="宋体"/>
                <w:kern w:val="0"/>
                <w:sz w:val="20"/>
                <w:szCs w:val="20"/>
              </w:rPr>
              <w:br w:type="textWrapping"/>
            </w:r>
            <w:r>
              <w:rPr>
                <w:rFonts w:hint="eastAsia" w:ascii="宋体" w:hAnsi="宋体" w:cs="宋体"/>
                <w:kern w:val="0"/>
                <w:sz w:val="20"/>
                <w:szCs w:val="20"/>
              </w:rPr>
              <w:t>（10分）</w:t>
            </w:r>
          </w:p>
        </w:tc>
        <w:tc>
          <w:tcPr>
            <w:tcW w:w="1537"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配送人员水平和态度</w:t>
            </w:r>
            <w:r>
              <w:rPr>
                <w:rFonts w:hint="eastAsia" w:ascii="宋体" w:hAnsi="宋体" w:cs="宋体"/>
                <w:kern w:val="0"/>
                <w:sz w:val="20"/>
                <w:szCs w:val="20"/>
              </w:rPr>
              <w:br w:type="textWrapping"/>
            </w:r>
            <w:r>
              <w:rPr>
                <w:rFonts w:hint="eastAsia" w:ascii="宋体" w:hAnsi="宋体" w:cs="宋体"/>
                <w:kern w:val="0"/>
                <w:sz w:val="20"/>
                <w:szCs w:val="20"/>
              </w:rPr>
              <w:t>（10分）</w:t>
            </w:r>
          </w:p>
        </w:tc>
        <w:tc>
          <w:tcPr>
            <w:tcW w:w="1459"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得分小计（分）</w:t>
            </w:r>
          </w:p>
        </w:tc>
        <w:tc>
          <w:tcPr>
            <w:tcW w:w="759" w:type="dxa"/>
            <w:tcBorders>
              <w:top w:val="single" w:color="auto" w:sz="4" w:space="0"/>
              <w:left w:val="nil"/>
              <w:bottom w:val="single" w:color="auto" w:sz="4" w:space="0"/>
              <w:right w:val="single" w:color="auto" w:sz="4" w:space="0"/>
            </w:tcBorders>
            <w:noWrap/>
            <w:vAlign w:val="bottom"/>
          </w:tcPr>
          <w:p>
            <w:pPr>
              <w:widowControl/>
              <w:jc w:val="left"/>
              <w:rPr>
                <w:rFonts w:ascii="宋体" w:hAns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trHeight w:val="737" w:hRule="atLeast"/>
        </w:trPr>
        <w:tc>
          <w:tcPr>
            <w:tcW w:w="1779" w:type="dxa"/>
            <w:tcBorders>
              <w:top w:val="single" w:color="000000" w:sz="4" w:space="0"/>
              <w:left w:val="single" w:color="auto" w:sz="4" w:space="0"/>
              <w:bottom w:val="single" w:color="auto" w:sz="4" w:space="0"/>
              <w:right w:val="single" w:color="auto" w:sz="4" w:space="0"/>
            </w:tcBorders>
            <w:noWrap/>
            <w:vAlign w:val="center"/>
          </w:tcPr>
          <w:p>
            <w:pPr>
              <w:widowControl/>
              <w:jc w:val="left"/>
              <w:rPr>
                <w:rFonts w:eastAsia="宋体"/>
              </w:rPr>
            </w:pPr>
          </w:p>
        </w:tc>
        <w:tc>
          <w:tcPr>
            <w:tcW w:w="1024" w:type="dxa"/>
            <w:tcBorders>
              <w:top w:val="nil"/>
              <w:left w:val="nil"/>
              <w:bottom w:val="single" w:color="auto" w:sz="4" w:space="0"/>
              <w:right w:val="single" w:color="auto" w:sz="4" w:space="0"/>
            </w:tcBorders>
            <w:noWrap/>
            <w:vAlign w:val="bottom"/>
          </w:tcPr>
          <w:p>
            <w:pPr>
              <w:widowControl/>
              <w:jc w:val="left"/>
              <w:rPr>
                <w:rFonts w:eastAsia="宋体"/>
              </w:rPr>
            </w:pPr>
          </w:p>
        </w:tc>
        <w:tc>
          <w:tcPr>
            <w:tcW w:w="1025" w:type="dxa"/>
            <w:tcBorders>
              <w:top w:val="nil"/>
              <w:left w:val="nil"/>
              <w:bottom w:val="single" w:color="auto" w:sz="4" w:space="0"/>
              <w:right w:val="single" w:color="auto" w:sz="4" w:space="0"/>
            </w:tcBorders>
            <w:noWrap/>
            <w:vAlign w:val="bottom"/>
          </w:tcPr>
          <w:p>
            <w:pPr>
              <w:widowControl/>
              <w:jc w:val="left"/>
              <w:rPr>
                <w:rFonts w:eastAsia="宋体"/>
              </w:rPr>
            </w:pPr>
          </w:p>
        </w:tc>
        <w:tc>
          <w:tcPr>
            <w:tcW w:w="1024" w:type="dxa"/>
            <w:tcBorders>
              <w:top w:val="nil"/>
              <w:left w:val="nil"/>
              <w:bottom w:val="single" w:color="auto" w:sz="4" w:space="0"/>
              <w:right w:val="single" w:color="auto" w:sz="4" w:space="0"/>
            </w:tcBorders>
            <w:noWrap/>
            <w:vAlign w:val="bottom"/>
          </w:tcPr>
          <w:p>
            <w:pPr>
              <w:widowControl/>
              <w:jc w:val="left"/>
              <w:rPr>
                <w:rFonts w:eastAsia="宋体"/>
              </w:rPr>
            </w:pPr>
          </w:p>
        </w:tc>
        <w:tc>
          <w:tcPr>
            <w:tcW w:w="985" w:type="dxa"/>
            <w:tcBorders>
              <w:top w:val="nil"/>
              <w:left w:val="nil"/>
              <w:bottom w:val="single" w:color="auto" w:sz="4" w:space="0"/>
              <w:right w:val="single" w:color="auto" w:sz="4" w:space="0"/>
            </w:tcBorders>
            <w:noWrap/>
            <w:vAlign w:val="bottom"/>
          </w:tcPr>
          <w:p>
            <w:pPr>
              <w:widowControl/>
              <w:jc w:val="left"/>
              <w:rPr>
                <w:rFonts w:eastAsia="宋体"/>
              </w:rPr>
            </w:pPr>
          </w:p>
        </w:tc>
        <w:tc>
          <w:tcPr>
            <w:tcW w:w="1272" w:type="dxa"/>
            <w:tcBorders>
              <w:top w:val="nil"/>
              <w:left w:val="nil"/>
              <w:bottom w:val="single" w:color="auto" w:sz="4" w:space="0"/>
              <w:right w:val="single" w:color="auto" w:sz="4" w:space="0"/>
            </w:tcBorders>
            <w:noWrap/>
            <w:vAlign w:val="bottom"/>
          </w:tcPr>
          <w:p>
            <w:pPr>
              <w:widowControl/>
              <w:jc w:val="left"/>
              <w:rPr>
                <w:rFonts w:eastAsia="宋体"/>
              </w:rPr>
            </w:pPr>
          </w:p>
        </w:tc>
        <w:tc>
          <w:tcPr>
            <w:tcW w:w="1537" w:type="dxa"/>
            <w:tcBorders>
              <w:top w:val="nil"/>
              <w:left w:val="nil"/>
              <w:bottom w:val="single" w:color="auto" w:sz="4" w:space="0"/>
              <w:right w:val="single" w:color="auto" w:sz="4" w:space="0"/>
            </w:tcBorders>
            <w:noWrap/>
            <w:vAlign w:val="bottom"/>
          </w:tcPr>
          <w:p>
            <w:pPr>
              <w:widowControl/>
              <w:jc w:val="left"/>
              <w:rPr>
                <w:rFonts w:eastAsia="宋体"/>
              </w:rPr>
            </w:pPr>
          </w:p>
        </w:tc>
        <w:tc>
          <w:tcPr>
            <w:tcW w:w="1459" w:type="dxa"/>
            <w:tcBorders>
              <w:top w:val="nil"/>
              <w:left w:val="nil"/>
              <w:bottom w:val="single" w:color="auto" w:sz="4" w:space="0"/>
              <w:right w:val="single" w:color="auto" w:sz="4" w:space="0"/>
            </w:tcBorders>
            <w:noWrap/>
            <w:vAlign w:val="bottom"/>
          </w:tcPr>
          <w:p>
            <w:pPr>
              <w:widowControl/>
              <w:jc w:val="left"/>
              <w:rPr>
                <w:rFonts w:eastAsia="宋体"/>
              </w:rPr>
            </w:pPr>
          </w:p>
        </w:tc>
        <w:tc>
          <w:tcPr>
            <w:tcW w:w="759" w:type="dxa"/>
            <w:tcBorders>
              <w:top w:val="nil"/>
              <w:left w:val="nil"/>
              <w:bottom w:val="single" w:color="auto" w:sz="4" w:space="0"/>
              <w:right w:val="single" w:color="auto" w:sz="4" w:space="0"/>
            </w:tcBorders>
            <w:noWrap/>
            <w:vAlign w:val="bottom"/>
          </w:tcPr>
          <w:p>
            <w:pPr>
              <w:widowControl/>
              <w:jc w:val="left"/>
              <w:rPr>
                <w:rFonts w:eastAsia="宋体"/>
              </w:rPr>
            </w:pPr>
          </w:p>
        </w:tc>
      </w:tr>
    </w:tbl>
    <w:p/>
    <w:p/>
    <w:p/>
    <w:p>
      <w:r>
        <w:rPr>
          <w:rFonts w:hint="eastAsia"/>
        </w:rPr>
        <w:t>具体扣分细则</w:t>
      </w:r>
    </w:p>
    <w:tbl>
      <w:tblPr>
        <w:tblStyle w:val="4"/>
        <w:tblW w:w="7440" w:type="dxa"/>
        <w:tblInd w:w="0" w:type="dxa"/>
        <w:tblLayout w:type="autofit"/>
        <w:tblCellMar>
          <w:top w:w="0" w:type="dxa"/>
          <w:left w:w="108" w:type="dxa"/>
          <w:bottom w:w="0" w:type="dxa"/>
          <w:right w:w="108" w:type="dxa"/>
        </w:tblCellMar>
      </w:tblPr>
      <w:tblGrid>
        <w:gridCol w:w="1096"/>
        <w:gridCol w:w="3235"/>
        <w:gridCol w:w="3109"/>
      </w:tblGrid>
      <w:tr>
        <w:tblPrEx>
          <w:tblCellMar>
            <w:top w:w="0" w:type="dxa"/>
            <w:left w:w="108" w:type="dxa"/>
            <w:bottom w:w="0" w:type="dxa"/>
            <w:right w:w="108" w:type="dxa"/>
          </w:tblCellMar>
        </w:tblPrEx>
        <w:trPr>
          <w:trHeight w:val="562" w:hRule="atLeast"/>
        </w:trPr>
        <w:tc>
          <w:tcPr>
            <w:tcW w:w="109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考评项目</w:t>
            </w:r>
          </w:p>
        </w:tc>
        <w:tc>
          <w:tcPr>
            <w:tcW w:w="3235" w:type="dxa"/>
            <w:tcBorders>
              <w:top w:val="single" w:color="auto" w:sz="4" w:space="0"/>
              <w:left w:val="nil"/>
              <w:bottom w:val="single" w:color="auto" w:sz="4" w:space="0"/>
              <w:right w:val="single" w:color="auto" w:sz="4" w:space="0"/>
            </w:tcBorders>
            <w:shd w:val="clear" w:color="auto" w:fill="FFFFFF"/>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评分细则</w:t>
            </w:r>
          </w:p>
        </w:tc>
        <w:tc>
          <w:tcPr>
            <w:tcW w:w="3109" w:type="dxa"/>
            <w:tcBorders>
              <w:top w:val="single" w:color="auto" w:sz="4" w:space="0"/>
              <w:left w:val="nil"/>
              <w:bottom w:val="single" w:color="auto" w:sz="4" w:space="0"/>
              <w:right w:val="single" w:color="auto" w:sz="4" w:space="0"/>
            </w:tcBorders>
            <w:shd w:val="clear" w:color="auto" w:fill="FFFFFF"/>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评分标准</w:t>
            </w:r>
          </w:p>
        </w:tc>
      </w:tr>
      <w:tr>
        <w:tblPrEx>
          <w:tblCellMar>
            <w:top w:w="0" w:type="dxa"/>
            <w:left w:w="108" w:type="dxa"/>
            <w:bottom w:w="0" w:type="dxa"/>
            <w:right w:w="108" w:type="dxa"/>
          </w:tblCellMar>
        </w:tblPrEx>
        <w:trPr>
          <w:trHeight w:val="371" w:hRule="atLeast"/>
        </w:trPr>
        <w:tc>
          <w:tcPr>
            <w:tcW w:w="1096" w:type="dxa"/>
            <w:vMerge w:val="restart"/>
            <w:tcBorders>
              <w:top w:val="nil"/>
              <w:left w:val="single" w:color="auto" w:sz="4" w:space="0"/>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配送服务</w:t>
            </w:r>
          </w:p>
        </w:tc>
        <w:tc>
          <w:tcPr>
            <w:tcW w:w="3235" w:type="dxa"/>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w:t>
            </w:r>
            <w:r>
              <w:rPr>
                <w:rFonts w:hint="eastAsia" w:ascii="宋体" w:hAnsi="宋体" w:cs="宋体"/>
                <w:color w:val="000000"/>
                <w:kern w:val="0"/>
                <w:sz w:val="20"/>
                <w:szCs w:val="20"/>
              </w:rPr>
              <w:t>、未按采购人规定时间内送达食材；</w:t>
            </w:r>
          </w:p>
        </w:tc>
        <w:tc>
          <w:tcPr>
            <w:tcW w:w="3109" w:type="dxa"/>
            <w:vMerge w:val="restart"/>
            <w:tcBorders>
              <w:top w:val="nil"/>
              <w:left w:val="single" w:color="auto" w:sz="4" w:space="0"/>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单项每发现一次扣</w:t>
            </w:r>
            <w:r>
              <w:rPr>
                <w:rFonts w:hint="eastAsia" w:ascii="宋体" w:hAnsi="宋体" w:cs="宋体"/>
                <w:color w:val="000000"/>
                <w:kern w:val="0"/>
                <w:sz w:val="24"/>
                <w:szCs w:val="24"/>
              </w:rPr>
              <w:t>2</w:t>
            </w:r>
            <w:r>
              <w:rPr>
                <w:rFonts w:hint="eastAsia" w:ascii="宋体" w:hAnsi="宋体" w:cs="宋体"/>
                <w:color w:val="000000"/>
                <w:kern w:val="0"/>
                <w:sz w:val="20"/>
                <w:szCs w:val="20"/>
              </w:rPr>
              <w:t>分；</w:t>
            </w:r>
          </w:p>
        </w:tc>
      </w:tr>
      <w:tr>
        <w:tblPrEx>
          <w:tblCellMar>
            <w:top w:w="0" w:type="dxa"/>
            <w:left w:w="108" w:type="dxa"/>
            <w:bottom w:w="0" w:type="dxa"/>
            <w:right w:w="108" w:type="dxa"/>
          </w:tblCellMar>
        </w:tblPrEx>
        <w:trPr>
          <w:trHeight w:val="359"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0"/>
                <w:szCs w:val="20"/>
              </w:rPr>
            </w:pPr>
          </w:p>
        </w:tc>
        <w:tc>
          <w:tcPr>
            <w:tcW w:w="3235" w:type="dxa"/>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w:t>
            </w:r>
            <w:r>
              <w:rPr>
                <w:rFonts w:hint="eastAsia" w:ascii="宋体" w:hAnsi="宋体" w:cs="宋体"/>
                <w:color w:val="000000"/>
                <w:kern w:val="0"/>
                <w:sz w:val="20"/>
                <w:szCs w:val="20"/>
              </w:rPr>
              <w:t>、配送食材出现漏送、送错货；</w:t>
            </w:r>
          </w:p>
        </w:tc>
        <w:tc>
          <w:tcPr>
            <w:tcW w:w="0" w:type="auto"/>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0"/>
                <w:szCs w:val="20"/>
              </w:rPr>
            </w:pPr>
          </w:p>
        </w:tc>
      </w:tr>
      <w:tr>
        <w:tblPrEx>
          <w:tblCellMar>
            <w:top w:w="0" w:type="dxa"/>
            <w:left w:w="108" w:type="dxa"/>
            <w:bottom w:w="0" w:type="dxa"/>
            <w:right w:w="108" w:type="dxa"/>
          </w:tblCellMar>
        </w:tblPrEx>
        <w:trPr>
          <w:trHeight w:val="371"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0"/>
                <w:szCs w:val="20"/>
              </w:rPr>
            </w:pPr>
          </w:p>
        </w:tc>
        <w:tc>
          <w:tcPr>
            <w:tcW w:w="3235" w:type="dxa"/>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3、车辆未定期消毒清洗、未提供消毒台账。</w:t>
            </w:r>
          </w:p>
        </w:tc>
        <w:tc>
          <w:tcPr>
            <w:tcW w:w="0" w:type="auto"/>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0"/>
                <w:szCs w:val="20"/>
              </w:rPr>
            </w:pPr>
          </w:p>
        </w:tc>
      </w:tr>
      <w:tr>
        <w:tblPrEx>
          <w:tblCellMar>
            <w:top w:w="0" w:type="dxa"/>
            <w:left w:w="108" w:type="dxa"/>
            <w:bottom w:w="0" w:type="dxa"/>
            <w:right w:w="108" w:type="dxa"/>
          </w:tblCellMar>
        </w:tblPrEx>
        <w:trPr>
          <w:trHeight w:val="610" w:hRule="atLeast"/>
        </w:trPr>
        <w:tc>
          <w:tcPr>
            <w:tcW w:w="1096" w:type="dxa"/>
            <w:vMerge w:val="restart"/>
            <w:tcBorders>
              <w:top w:val="nil"/>
              <w:left w:val="single" w:color="auto" w:sz="4" w:space="0"/>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食材质量</w:t>
            </w:r>
          </w:p>
        </w:tc>
        <w:tc>
          <w:tcPr>
            <w:tcW w:w="3235" w:type="dxa"/>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w:t>
            </w:r>
            <w:r>
              <w:rPr>
                <w:rFonts w:hint="eastAsia" w:ascii="宋体" w:hAnsi="宋体" w:cs="宋体"/>
                <w:color w:val="000000"/>
                <w:kern w:val="0"/>
                <w:sz w:val="20"/>
                <w:szCs w:val="20"/>
              </w:rPr>
              <w:t>、根据配送食材标准明细表为标准，肉类、水 果类、蔬菜类质量有一项不满足验收标准要求的；</w:t>
            </w:r>
          </w:p>
        </w:tc>
        <w:tc>
          <w:tcPr>
            <w:tcW w:w="3109" w:type="dxa"/>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每发现一次扣</w:t>
            </w:r>
            <w:r>
              <w:rPr>
                <w:rFonts w:hint="eastAsia" w:ascii="宋体" w:hAnsi="宋体" w:cs="宋体"/>
                <w:color w:val="000000"/>
                <w:kern w:val="0"/>
                <w:sz w:val="24"/>
                <w:szCs w:val="24"/>
              </w:rPr>
              <w:t>1</w:t>
            </w:r>
            <w:r>
              <w:rPr>
                <w:rFonts w:hint="eastAsia" w:ascii="宋体" w:hAnsi="宋体" w:cs="宋体"/>
                <w:color w:val="000000"/>
                <w:kern w:val="0"/>
                <w:sz w:val="20"/>
                <w:szCs w:val="20"/>
              </w:rPr>
              <w:t>分；</w:t>
            </w:r>
          </w:p>
        </w:tc>
      </w:tr>
      <w:tr>
        <w:tblPrEx>
          <w:tblCellMar>
            <w:top w:w="0" w:type="dxa"/>
            <w:left w:w="108" w:type="dxa"/>
            <w:bottom w:w="0" w:type="dxa"/>
            <w:right w:w="108" w:type="dxa"/>
          </w:tblCellMar>
        </w:tblPrEx>
        <w:trPr>
          <w:trHeight w:val="491"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0"/>
                <w:szCs w:val="20"/>
              </w:rPr>
            </w:pPr>
          </w:p>
        </w:tc>
        <w:tc>
          <w:tcPr>
            <w:tcW w:w="3235" w:type="dxa"/>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w:t>
            </w:r>
            <w:r>
              <w:rPr>
                <w:rFonts w:hint="eastAsia" w:ascii="宋体" w:hAnsi="宋体" w:cs="宋体"/>
                <w:color w:val="000000"/>
                <w:kern w:val="0"/>
                <w:sz w:val="20"/>
                <w:szCs w:val="20"/>
              </w:rPr>
              <w:t>、肉类、水果类、蔬菜类质量情况恶劣的。</w:t>
            </w:r>
          </w:p>
        </w:tc>
        <w:tc>
          <w:tcPr>
            <w:tcW w:w="3109" w:type="dxa"/>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每发现一次扣5</w:t>
            </w:r>
            <w:r>
              <w:rPr>
                <w:rFonts w:hint="eastAsia" w:ascii="宋体" w:hAnsi="宋体" w:cs="宋体"/>
                <w:color w:val="000000"/>
                <w:kern w:val="0"/>
                <w:sz w:val="24"/>
                <w:szCs w:val="24"/>
              </w:rPr>
              <w:t>分；</w:t>
            </w:r>
          </w:p>
        </w:tc>
      </w:tr>
      <w:tr>
        <w:tblPrEx>
          <w:tblCellMar>
            <w:top w:w="0" w:type="dxa"/>
            <w:left w:w="108" w:type="dxa"/>
            <w:bottom w:w="0" w:type="dxa"/>
            <w:right w:w="108" w:type="dxa"/>
          </w:tblCellMar>
        </w:tblPrEx>
        <w:trPr>
          <w:trHeight w:val="574" w:hRule="atLeast"/>
        </w:trPr>
        <w:tc>
          <w:tcPr>
            <w:tcW w:w="1096" w:type="dxa"/>
            <w:vMerge w:val="restart"/>
            <w:tcBorders>
              <w:top w:val="nil"/>
              <w:left w:val="single" w:color="auto" w:sz="4" w:space="0"/>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食材数量</w:t>
            </w:r>
          </w:p>
        </w:tc>
        <w:tc>
          <w:tcPr>
            <w:tcW w:w="3235" w:type="dxa"/>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w:t>
            </w:r>
            <w:r>
              <w:rPr>
                <w:rFonts w:hint="eastAsia" w:ascii="宋体" w:hAnsi="宋体" w:cs="宋体"/>
                <w:color w:val="000000"/>
                <w:kern w:val="0"/>
                <w:sz w:val="20"/>
                <w:szCs w:val="20"/>
              </w:rPr>
              <w:t>、蔬菜类实收数量与单据上数量误差大于2%的；</w:t>
            </w:r>
          </w:p>
        </w:tc>
        <w:tc>
          <w:tcPr>
            <w:tcW w:w="3109" w:type="dxa"/>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每发现一次扣</w:t>
            </w:r>
            <w:r>
              <w:rPr>
                <w:rFonts w:hint="eastAsia" w:ascii="宋体" w:hAnsi="宋体" w:cs="宋体"/>
                <w:color w:val="000000"/>
                <w:kern w:val="0"/>
                <w:sz w:val="24"/>
                <w:szCs w:val="24"/>
              </w:rPr>
              <w:t>1</w:t>
            </w:r>
            <w:r>
              <w:rPr>
                <w:rFonts w:hint="eastAsia" w:ascii="宋体" w:hAnsi="宋体" w:cs="宋体"/>
                <w:color w:val="000000"/>
                <w:kern w:val="0"/>
                <w:sz w:val="20"/>
                <w:szCs w:val="20"/>
              </w:rPr>
              <w:t>分</w:t>
            </w:r>
          </w:p>
        </w:tc>
      </w:tr>
      <w:tr>
        <w:tblPrEx>
          <w:tblCellMar>
            <w:top w:w="0" w:type="dxa"/>
            <w:left w:w="108" w:type="dxa"/>
            <w:bottom w:w="0" w:type="dxa"/>
            <w:right w:w="108" w:type="dxa"/>
          </w:tblCellMar>
        </w:tblPrEx>
        <w:trPr>
          <w:trHeight w:val="551"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0"/>
                <w:szCs w:val="20"/>
              </w:rPr>
            </w:pPr>
          </w:p>
        </w:tc>
        <w:tc>
          <w:tcPr>
            <w:tcW w:w="3235" w:type="dxa"/>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w:t>
            </w:r>
            <w:r>
              <w:rPr>
                <w:rFonts w:hint="eastAsia" w:ascii="宋体" w:hAnsi="宋体" w:cs="宋体"/>
                <w:color w:val="000000"/>
                <w:kern w:val="0"/>
                <w:sz w:val="20"/>
                <w:szCs w:val="20"/>
              </w:rPr>
              <w:t>、水果类实收数量与单据上数量误差大于2%；</w:t>
            </w:r>
          </w:p>
        </w:tc>
        <w:tc>
          <w:tcPr>
            <w:tcW w:w="3109" w:type="dxa"/>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每发现一次扣</w:t>
            </w:r>
            <w:r>
              <w:rPr>
                <w:rFonts w:hint="eastAsia" w:ascii="宋体" w:hAnsi="宋体" w:cs="宋体"/>
                <w:color w:val="000000"/>
                <w:kern w:val="0"/>
                <w:sz w:val="24"/>
                <w:szCs w:val="24"/>
              </w:rPr>
              <w:t>1</w:t>
            </w:r>
            <w:r>
              <w:rPr>
                <w:rFonts w:hint="eastAsia" w:ascii="宋体" w:hAnsi="宋体" w:cs="宋体"/>
                <w:color w:val="000000"/>
                <w:kern w:val="0"/>
                <w:sz w:val="20"/>
                <w:szCs w:val="20"/>
              </w:rPr>
              <w:t>分</w:t>
            </w:r>
          </w:p>
        </w:tc>
      </w:tr>
      <w:tr>
        <w:tblPrEx>
          <w:tblCellMar>
            <w:top w:w="0" w:type="dxa"/>
            <w:left w:w="108" w:type="dxa"/>
            <w:bottom w:w="0" w:type="dxa"/>
            <w:right w:w="108" w:type="dxa"/>
          </w:tblCellMar>
        </w:tblPrEx>
        <w:trPr>
          <w:trHeight w:val="395"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0"/>
                <w:szCs w:val="20"/>
              </w:rPr>
            </w:pPr>
          </w:p>
        </w:tc>
        <w:tc>
          <w:tcPr>
            <w:tcW w:w="3235" w:type="dxa"/>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w:t>
            </w:r>
            <w:r>
              <w:rPr>
                <w:rFonts w:hint="eastAsia" w:ascii="宋体" w:hAnsi="宋体" w:cs="宋体"/>
                <w:color w:val="000000"/>
                <w:kern w:val="0"/>
                <w:sz w:val="20"/>
                <w:szCs w:val="20"/>
              </w:rPr>
              <w:t>、肉类误差大于2%的；</w:t>
            </w:r>
          </w:p>
        </w:tc>
        <w:tc>
          <w:tcPr>
            <w:tcW w:w="3109" w:type="dxa"/>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每发现一次扣</w:t>
            </w:r>
            <w:r>
              <w:rPr>
                <w:rFonts w:hint="eastAsia" w:ascii="宋体" w:hAnsi="宋体" w:cs="宋体"/>
                <w:color w:val="000000"/>
                <w:kern w:val="0"/>
                <w:sz w:val="24"/>
                <w:szCs w:val="24"/>
              </w:rPr>
              <w:t>1</w:t>
            </w:r>
            <w:r>
              <w:rPr>
                <w:rFonts w:hint="eastAsia" w:ascii="宋体" w:hAnsi="宋体" w:cs="宋体"/>
                <w:color w:val="000000"/>
                <w:kern w:val="0"/>
                <w:sz w:val="20"/>
                <w:szCs w:val="20"/>
              </w:rPr>
              <w:t>分</w:t>
            </w:r>
          </w:p>
        </w:tc>
      </w:tr>
      <w:tr>
        <w:tblPrEx>
          <w:tblCellMar>
            <w:top w:w="0" w:type="dxa"/>
            <w:left w:w="108" w:type="dxa"/>
            <w:bottom w:w="0" w:type="dxa"/>
            <w:right w:w="108" w:type="dxa"/>
          </w:tblCellMar>
        </w:tblPrEx>
        <w:trPr>
          <w:trHeight w:val="359" w:hRule="atLeast"/>
        </w:trPr>
        <w:tc>
          <w:tcPr>
            <w:tcW w:w="1096" w:type="dxa"/>
            <w:tcBorders>
              <w:top w:val="nil"/>
              <w:left w:val="single" w:color="auto" w:sz="4" w:space="0"/>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食材价格</w:t>
            </w:r>
          </w:p>
        </w:tc>
        <w:tc>
          <w:tcPr>
            <w:tcW w:w="3235" w:type="dxa"/>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w:t>
            </w:r>
            <w:r>
              <w:rPr>
                <w:rFonts w:hint="eastAsia" w:ascii="宋体" w:hAnsi="宋体" w:cs="宋体"/>
                <w:color w:val="000000"/>
                <w:kern w:val="0"/>
                <w:sz w:val="20"/>
                <w:szCs w:val="20"/>
              </w:rPr>
              <w:t>、食材价格与当期食材调价明细不符的；</w:t>
            </w:r>
            <w:r>
              <w:rPr>
                <w:rFonts w:hint="eastAsia" w:ascii="宋体" w:hAnsi="宋体" w:cs="宋体"/>
                <w:color w:val="000000"/>
                <w:kern w:val="0"/>
                <w:sz w:val="24"/>
                <w:szCs w:val="24"/>
              </w:rPr>
              <w:t>（5</w:t>
            </w:r>
            <w:r>
              <w:rPr>
                <w:rFonts w:hint="eastAsia" w:ascii="宋体" w:hAnsi="宋体" w:cs="宋体"/>
                <w:color w:val="000000"/>
                <w:kern w:val="0"/>
                <w:sz w:val="20"/>
                <w:szCs w:val="20"/>
              </w:rPr>
              <w:t>分）</w:t>
            </w:r>
          </w:p>
        </w:tc>
        <w:tc>
          <w:tcPr>
            <w:tcW w:w="3109" w:type="dxa"/>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每发现一次扣5分</w:t>
            </w:r>
          </w:p>
        </w:tc>
      </w:tr>
    </w:tbl>
    <w:p/>
    <w:p>
      <w:pPr>
        <w:pStyle w:val="3"/>
        <w:ind w:firstLine="560"/>
        <w:rPr>
          <w:rFonts w:ascii="彩虹粗仿宋" w:hAnsi="Calibri" w:eastAsia="彩虹粗仿宋"/>
        </w:rPr>
      </w:pPr>
      <w:r>
        <w:rPr>
          <w:rFonts w:hint="eastAsia" w:ascii="彩虹粗仿宋" w:hAnsi="Calibri" w:eastAsia="彩虹粗仿宋"/>
        </w:rPr>
        <w:t>说明：</w:t>
      </w:r>
    </w:p>
    <w:p>
      <w:pPr>
        <w:pStyle w:val="3"/>
        <w:ind w:firstLine="560"/>
        <w:rPr>
          <w:rFonts w:ascii="彩虹粗仿宋" w:hAnsi="Calibri" w:eastAsia="彩虹粗仿宋"/>
        </w:rPr>
      </w:pPr>
      <w:r>
        <w:rPr>
          <w:rFonts w:hint="eastAsia" w:ascii="彩虹粗仿宋" w:hAnsi="Calibri" w:eastAsia="彩虹粗仿宋"/>
        </w:rPr>
        <w:t>1.考核总分为：100分（其中：品质类80分，服务类20分）；</w:t>
      </w:r>
    </w:p>
    <w:p>
      <w:pPr>
        <w:pStyle w:val="3"/>
        <w:ind w:firstLine="560"/>
        <w:rPr>
          <w:rFonts w:ascii="彩虹粗仿宋" w:eastAsia="彩虹粗仿宋"/>
        </w:rPr>
      </w:pPr>
      <w:r>
        <w:rPr>
          <w:rFonts w:hint="eastAsia" w:ascii="彩虹粗仿宋" w:hAnsi="Calibri" w:eastAsia="彩虹粗仿宋"/>
        </w:rPr>
        <w:t>2.</w:t>
      </w:r>
      <w:r>
        <w:rPr>
          <w:rFonts w:hint="eastAsia" w:ascii="彩虹粗仿宋" w:eastAsia="彩虹粗仿宋"/>
        </w:rPr>
        <w:t>考核评定分值与质保金扣罚表：</w:t>
      </w:r>
    </w:p>
    <w:tbl>
      <w:tblPr>
        <w:tblStyle w:val="4"/>
        <w:tblW w:w="6480" w:type="dxa"/>
        <w:jc w:val="center"/>
        <w:tblLayout w:type="autofit"/>
        <w:tblCellMar>
          <w:top w:w="0" w:type="dxa"/>
          <w:left w:w="108" w:type="dxa"/>
          <w:bottom w:w="0" w:type="dxa"/>
          <w:right w:w="108" w:type="dxa"/>
        </w:tblCellMar>
      </w:tblPr>
      <w:tblGrid>
        <w:gridCol w:w="1080"/>
        <w:gridCol w:w="1080"/>
        <w:gridCol w:w="1080"/>
        <w:gridCol w:w="1080"/>
        <w:gridCol w:w="1080"/>
        <w:gridCol w:w="1080"/>
      </w:tblGrid>
      <w:tr>
        <w:tblPrEx>
          <w:tblCellMar>
            <w:top w:w="0" w:type="dxa"/>
            <w:left w:w="108" w:type="dxa"/>
            <w:bottom w:w="0" w:type="dxa"/>
            <w:right w:w="108" w:type="dxa"/>
          </w:tblCellMar>
        </w:tblPrEx>
        <w:trPr>
          <w:trHeight w:val="600" w:hRule="atLeast"/>
          <w:jc w:val="center"/>
        </w:trPr>
        <w:tc>
          <w:tcPr>
            <w:tcW w:w="10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彩虹粗仿宋" w:hAnsi="等线" w:eastAsia="彩虹粗仿宋" w:cs="宋体"/>
                <w:color w:val="000000"/>
                <w:kern w:val="0"/>
              </w:rPr>
            </w:pPr>
            <w:r>
              <w:rPr>
                <w:rFonts w:hint="eastAsia" w:ascii="彩虹粗仿宋" w:hAnsi="等线" w:eastAsia="彩虹粗仿宋" w:cs="宋体"/>
                <w:color w:val="000000"/>
                <w:kern w:val="0"/>
              </w:rPr>
              <w:t>考核评定分值</w:t>
            </w:r>
          </w:p>
        </w:tc>
        <w:tc>
          <w:tcPr>
            <w:tcW w:w="1080" w:type="dxa"/>
            <w:tcBorders>
              <w:top w:val="single" w:color="auto" w:sz="4" w:space="0"/>
              <w:left w:val="nil"/>
              <w:bottom w:val="single" w:color="auto" w:sz="4" w:space="0"/>
              <w:right w:val="single" w:color="auto" w:sz="4" w:space="0"/>
            </w:tcBorders>
            <w:vAlign w:val="center"/>
          </w:tcPr>
          <w:p>
            <w:pPr>
              <w:widowControl/>
              <w:jc w:val="center"/>
              <w:rPr>
                <w:rFonts w:ascii="彩虹粗仿宋" w:hAnsi="等线" w:eastAsia="彩虹粗仿宋" w:cs="宋体"/>
                <w:color w:val="000000"/>
                <w:kern w:val="0"/>
              </w:rPr>
            </w:pPr>
            <w:r>
              <w:rPr>
                <w:rFonts w:hint="eastAsia" w:ascii="彩虹粗仿宋" w:hAnsi="等线" w:eastAsia="彩虹粗仿宋" w:cs="宋体"/>
                <w:color w:val="000000"/>
                <w:kern w:val="0"/>
              </w:rPr>
              <w:t>100-90</w:t>
            </w:r>
          </w:p>
        </w:tc>
        <w:tc>
          <w:tcPr>
            <w:tcW w:w="1080" w:type="dxa"/>
            <w:tcBorders>
              <w:top w:val="single" w:color="auto" w:sz="4" w:space="0"/>
              <w:left w:val="nil"/>
              <w:bottom w:val="single" w:color="auto" w:sz="4" w:space="0"/>
              <w:right w:val="single" w:color="auto" w:sz="4" w:space="0"/>
            </w:tcBorders>
            <w:vAlign w:val="center"/>
          </w:tcPr>
          <w:p>
            <w:pPr>
              <w:widowControl/>
              <w:jc w:val="center"/>
              <w:rPr>
                <w:rFonts w:ascii="彩虹粗仿宋" w:hAnsi="等线" w:eastAsia="彩虹粗仿宋" w:cs="宋体"/>
                <w:color w:val="000000"/>
                <w:kern w:val="0"/>
              </w:rPr>
            </w:pPr>
            <w:r>
              <w:rPr>
                <w:rFonts w:hint="eastAsia" w:ascii="彩虹粗仿宋" w:hAnsi="等线" w:eastAsia="彩虹粗仿宋" w:cs="宋体"/>
                <w:color w:val="000000"/>
                <w:kern w:val="0"/>
              </w:rPr>
              <w:t>89-80</w:t>
            </w:r>
          </w:p>
        </w:tc>
        <w:tc>
          <w:tcPr>
            <w:tcW w:w="1080" w:type="dxa"/>
            <w:tcBorders>
              <w:top w:val="single" w:color="auto" w:sz="4" w:space="0"/>
              <w:left w:val="nil"/>
              <w:bottom w:val="single" w:color="auto" w:sz="4" w:space="0"/>
              <w:right w:val="single" w:color="auto" w:sz="4" w:space="0"/>
            </w:tcBorders>
            <w:vAlign w:val="center"/>
          </w:tcPr>
          <w:p>
            <w:pPr>
              <w:widowControl/>
              <w:jc w:val="center"/>
              <w:rPr>
                <w:rFonts w:ascii="彩虹粗仿宋" w:hAnsi="等线" w:eastAsia="彩虹粗仿宋" w:cs="宋体"/>
                <w:color w:val="000000"/>
                <w:kern w:val="0"/>
              </w:rPr>
            </w:pPr>
            <w:r>
              <w:rPr>
                <w:rFonts w:hint="eastAsia" w:ascii="彩虹粗仿宋" w:hAnsi="等线" w:eastAsia="彩虹粗仿宋" w:cs="宋体"/>
                <w:color w:val="000000"/>
                <w:kern w:val="0"/>
              </w:rPr>
              <w:t>79-70</w:t>
            </w:r>
          </w:p>
        </w:tc>
        <w:tc>
          <w:tcPr>
            <w:tcW w:w="1080" w:type="dxa"/>
            <w:tcBorders>
              <w:top w:val="single" w:color="auto" w:sz="4" w:space="0"/>
              <w:left w:val="nil"/>
              <w:bottom w:val="single" w:color="auto" w:sz="4" w:space="0"/>
              <w:right w:val="single" w:color="auto" w:sz="4" w:space="0"/>
            </w:tcBorders>
            <w:vAlign w:val="center"/>
          </w:tcPr>
          <w:p>
            <w:pPr>
              <w:widowControl/>
              <w:jc w:val="center"/>
              <w:rPr>
                <w:rFonts w:ascii="彩虹粗仿宋" w:hAnsi="等线" w:eastAsia="彩虹粗仿宋" w:cs="宋体"/>
                <w:color w:val="000000"/>
                <w:kern w:val="0"/>
              </w:rPr>
            </w:pPr>
            <w:r>
              <w:rPr>
                <w:rFonts w:hint="eastAsia" w:ascii="彩虹粗仿宋" w:hAnsi="等线" w:eastAsia="彩虹粗仿宋" w:cs="宋体"/>
                <w:color w:val="000000"/>
                <w:kern w:val="0"/>
              </w:rPr>
              <w:t>69-60</w:t>
            </w:r>
          </w:p>
        </w:tc>
        <w:tc>
          <w:tcPr>
            <w:tcW w:w="1080" w:type="dxa"/>
            <w:tcBorders>
              <w:top w:val="single" w:color="auto" w:sz="4" w:space="0"/>
              <w:left w:val="nil"/>
              <w:bottom w:val="single" w:color="auto" w:sz="4" w:space="0"/>
              <w:right w:val="single" w:color="auto" w:sz="4" w:space="0"/>
            </w:tcBorders>
            <w:noWrap/>
            <w:vAlign w:val="center"/>
          </w:tcPr>
          <w:p>
            <w:pPr>
              <w:widowControl/>
              <w:jc w:val="center"/>
              <w:rPr>
                <w:rFonts w:ascii="彩虹粗仿宋" w:hAnsi="等线" w:eastAsia="彩虹粗仿宋" w:cs="宋体"/>
                <w:color w:val="000000"/>
                <w:kern w:val="0"/>
              </w:rPr>
            </w:pPr>
            <w:r>
              <w:rPr>
                <w:rFonts w:hint="eastAsia" w:ascii="彩虹粗仿宋" w:hAnsi="等线" w:eastAsia="彩虹粗仿宋" w:cs="宋体"/>
                <w:color w:val="000000"/>
                <w:kern w:val="0"/>
              </w:rPr>
              <w:t>60分以下</w:t>
            </w:r>
          </w:p>
        </w:tc>
      </w:tr>
      <w:tr>
        <w:tblPrEx>
          <w:tblCellMar>
            <w:top w:w="0" w:type="dxa"/>
            <w:left w:w="108" w:type="dxa"/>
            <w:bottom w:w="0" w:type="dxa"/>
            <w:right w:w="108" w:type="dxa"/>
          </w:tblCellMar>
        </w:tblPrEx>
        <w:trPr>
          <w:trHeight w:val="600" w:hRule="atLeast"/>
          <w:jc w:val="center"/>
        </w:trPr>
        <w:tc>
          <w:tcPr>
            <w:tcW w:w="1080" w:type="dxa"/>
            <w:vMerge w:val="restart"/>
            <w:tcBorders>
              <w:top w:val="nil"/>
              <w:left w:val="single" w:color="auto" w:sz="4" w:space="0"/>
              <w:bottom w:val="single" w:color="auto" w:sz="4" w:space="0"/>
              <w:right w:val="single" w:color="auto" w:sz="4" w:space="0"/>
            </w:tcBorders>
            <w:vAlign w:val="center"/>
          </w:tcPr>
          <w:p>
            <w:pPr>
              <w:widowControl/>
              <w:jc w:val="center"/>
              <w:rPr>
                <w:rFonts w:ascii="黑体" w:hAnsi="黑体" w:eastAsia="黑体" w:cs="宋体"/>
                <w:b/>
                <w:bCs/>
                <w:color w:val="000000"/>
                <w:kern w:val="0"/>
              </w:rPr>
            </w:pPr>
            <w:r>
              <w:rPr>
                <w:rFonts w:hint="eastAsia" w:ascii="黑体" w:hAnsi="黑体" w:eastAsia="黑体" w:cs="宋体"/>
                <w:b/>
                <w:bCs/>
                <w:color w:val="000000"/>
                <w:kern w:val="0"/>
              </w:rPr>
              <w:t>考核结果应用</w:t>
            </w:r>
          </w:p>
        </w:tc>
        <w:tc>
          <w:tcPr>
            <w:tcW w:w="1080" w:type="dxa"/>
            <w:vMerge w:val="restart"/>
            <w:tcBorders>
              <w:top w:val="nil"/>
              <w:left w:val="single" w:color="auto" w:sz="4" w:space="0"/>
              <w:bottom w:val="single" w:color="auto" w:sz="4" w:space="0"/>
              <w:right w:val="single" w:color="auto" w:sz="4" w:space="0"/>
            </w:tcBorders>
            <w:vAlign w:val="center"/>
          </w:tcPr>
          <w:p>
            <w:pPr>
              <w:widowControl/>
              <w:jc w:val="center"/>
              <w:rPr>
                <w:rFonts w:ascii="彩虹粗仿宋" w:hAnsi="等线" w:eastAsia="彩虹粗仿宋" w:cs="宋体"/>
                <w:color w:val="000000"/>
                <w:kern w:val="0"/>
              </w:rPr>
            </w:pPr>
            <w:r>
              <w:rPr>
                <w:rFonts w:hint="eastAsia" w:ascii="彩虹粗仿宋" w:hAnsi="等线" w:eastAsia="彩虹粗仿宋" w:cs="宋体"/>
                <w:color w:val="000000"/>
                <w:kern w:val="0"/>
              </w:rPr>
              <w:t>不扣罚质保金</w:t>
            </w:r>
          </w:p>
        </w:tc>
        <w:tc>
          <w:tcPr>
            <w:tcW w:w="1080" w:type="dxa"/>
            <w:vMerge w:val="restart"/>
            <w:tcBorders>
              <w:top w:val="nil"/>
              <w:left w:val="single" w:color="auto" w:sz="4" w:space="0"/>
              <w:bottom w:val="single" w:color="auto" w:sz="4" w:space="0"/>
              <w:right w:val="single" w:color="auto" w:sz="4" w:space="0"/>
            </w:tcBorders>
            <w:vAlign w:val="center"/>
          </w:tcPr>
          <w:p>
            <w:pPr>
              <w:widowControl/>
              <w:rPr>
                <w:rFonts w:ascii="彩虹粗仿宋" w:hAnsi="等线" w:eastAsia="彩虹粗仿宋" w:cs="宋体"/>
                <w:color w:val="000000"/>
                <w:kern w:val="0"/>
              </w:rPr>
            </w:pPr>
            <w:r>
              <w:rPr>
                <w:rFonts w:hint="eastAsia" w:ascii="彩虹粗仿宋" w:hAnsi="等线" w:eastAsia="彩虹粗仿宋" w:cs="宋体"/>
                <w:color w:val="000000"/>
                <w:kern w:val="0"/>
              </w:rPr>
              <w:t>扣罚质保金30%</w:t>
            </w:r>
          </w:p>
        </w:tc>
        <w:tc>
          <w:tcPr>
            <w:tcW w:w="1080" w:type="dxa"/>
            <w:vMerge w:val="restart"/>
            <w:tcBorders>
              <w:top w:val="nil"/>
              <w:left w:val="single" w:color="auto" w:sz="4" w:space="0"/>
              <w:bottom w:val="single" w:color="auto" w:sz="4" w:space="0"/>
              <w:right w:val="single" w:color="auto" w:sz="4" w:space="0"/>
            </w:tcBorders>
            <w:vAlign w:val="center"/>
          </w:tcPr>
          <w:p>
            <w:pPr>
              <w:widowControl/>
              <w:rPr>
                <w:rFonts w:ascii="彩虹粗仿宋" w:hAnsi="等线" w:eastAsia="彩虹粗仿宋" w:cs="宋体"/>
                <w:color w:val="000000"/>
                <w:kern w:val="0"/>
              </w:rPr>
            </w:pPr>
            <w:r>
              <w:rPr>
                <w:rFonts w:hint="eastAsia" w:ascii="彩虹粗仿宋" w:hAnsi="等线" w:eastAsia="彩虹粗仿宋" w:cs="宋体"/>
                <w:color w:val="000000"/>
                <w:kern w:val="0"/>
              </w:rPr>
              <w:t xml:space="preserve">扣罚质保金50% </w:t>
            </w:r>
          </w:p>
        </w:tc>
        <w:tc>
          <w:tcPr>
            <w:tcW w:w="1080" w:type="dxa"/>
            <w:vMerge w:val="restart"/>
            <w:tcBorders>
              <w:top w:val="nil"/>
              <w:left w:val="single" w:color="auto" w:sz="4" w:space="0"/>
              <w:bottom w:val="single" w:color="auto" w:sz="4" w:space="0"/>
              <w:right w:val="single" w:color="auto" w:sz="4" w:space="0"/>
            </w:tcBorders>
            <w:vAlign w:val="center"/>
          </w:tcPr>
          <w:p>
            <w:pPr>
              <w:widowControl/>
              <w:rPr>
                <w:rFonts w:ascii="彩虹粗仿宋" w:hAnsi="等线" w:eastAsia="彩虹粗仿宋" w:cs="宋体"/>
                <w:color w:val="000000"/>
                <w:kern w:val="0"/>
              </w:rPr>
            </w:pPr>
            <w:r>
              <w:rPr>
                <w:rFonts w:hint="eastAsia" w:ascii="彩虹粗仿宋" w:hAnsi="等线" w:eastAsia="彩虹粗仿宋" w:cs="宋体"/>
                <w:color w:val="000000"/>
                <w:kern w:val="0"/>
              </w:rPr>
              <w:t xml:space="preserve">扣罚质保金100%； </w:t>
            </w:r>
          </w:p>
        </w:tc>
        <w:tc>
          <w:tcPr>
            <w:tcW w:w="1080" w:type="dxa"/>
            <w:vMerge w:val="restart"/>
            <w:tcBorders>
              <w:top w:val="nil"/>
              <w:left w:val="single" w:color="auto" w:sz="4" w:space="0"/>
              <w:bottom w:val="single" w:color="000000" w:sz="4" w:space="0"/>
              <w:right w:val="single" w:color="auto" w:sz="4" w:space="0"/>
            </w:tcBorders>
            <w:vAlign w:val="center"/>
          </w:tcPr>
          <w:p>
            <w:pPr>
              <w:widowControl/>
              <w:jc w:val="center"/>
              <w:rPr>
                <w:rFonts w:ascii="彩虹粗仿宋" w:hAnsi="等线" w:eastAsia="彩虹粗仿宋" w:cs="宋体"/>
                <w:color w:val="000000"/>
                <w:kern w:val="0"/>
              </w:rPr>
            </w:pPr>
            <w:r>
              <w:rPr>
                <w:rFonts w:hint="eastAsia" w:ascii="彩虹粗仿宋" w:hAnsi="等线" w:eastAsia="彩虹粗仿宋" w:cs="宋体"/>
                <w:color w:val="000000"/>
                <w:kern w:val="0"/>
              </w:rPr>
              <w:t>采购方可终止合同</w:t>
            </w:r>
          </w:p>
        </w:tc>
      </w:tr>
      <w:tr>
        <w:tblPrEx>
          <w:tblCellMar>
            <w:top w:w="0" w:type="dxa"/>
            <w:left w:w="108" w:type="dxa"/>
            <w:bottom w:w="0" w:type="dxa"/>
            <w:right w:w="108" w:type="dxa"/>
          </w:tblCellMar>
        </w:tblPrEx>
        <w:trPr>
          <w:trHeight w:val="312" w:hRule="atLeast"/>
          <w:jc w:val="center"/>
        </w:trPr>
        <w:tc>
          <w:tcPr>
            <w:tcW w:w="0" w:type="auto"/>
            <w:vMerge w:val="continue"/>
            <w:tcBorders>
              <w:top w:val="nil"/>
              <w:left w:val="single" w:color="auto" w:sz="4" w:space="0"/>
              <w:bottom w:val="single" w:color="auto" w:sz="4" w:space="0"/>
              <w:right w:val="single" w:color="auto" w:sz="4" w:space="0"/>
            </w:tcBorders>
            <w:vAlign w:val="center"/>
          </w:tcPr>
          <w:p>
            <w:pPr>
              <w:widowControl/>
              <w:jc w:val="left"/>
              <w:rPr>
                <w:rFonts w:ascii="黑体" w:hAnsi="黑体" w:eastAsia="黑体" w:cs="宋体"/>
                <w:b/>
                <w:bCs/>
                <w:color w:val="000000"/>
                <w:kern w:val="0"/>
              </w:rPr>
            </w:pPr>
          </w:p>
        </w:tc>
        <w:tc>
          <w:tcPr>
            <w:tcW w:w="0" w:type="auto"/>
            <w:vMerge w:val="continue"/>
            <w:tcBorders>
              <w:top w:val="nil"/>
              <w:left w:val="single" w:color="auto" w:sz="4" w:space="0"/>
              <w:bottom w:val="single" w:color="auto" w:sz="4" w:space="0"/>
              <w:right w:val="single" w:color="auto" w:sz="4" w:space="0"/>
            </w:tcBorders>
            <w:vAlign w:val="center"/>
          </w:tcPr>
          <w:p>
            <w:pPr>
              <w:widowControl/>
              <w:jc w:val="left"/>
              <w:rPr>
                <w:rFonts w:ascii="彩虹粗仿宋" w:hAnsi="等线" w:eastAsia="彩虹粗仿宋" w:cs="宋体"/>
                <w:color w:val="000000"/>
                <w:kern w:val="0"/>
              </w:rPr>
            </w:pPr>
          </w:p>
        </w:tc>
        <w:tc>
          <w:tcPr>
            <w:tcW w:w="0" w:type="auto"/>
            <w:vMerge w:val="continue"/>
            <w:tcBorders>
              <w:top w:val="nil"/>
              <w:left w:val="single" w:color="auto" w:sz="4" w:space="0"/>
              <w:bottom w:val="single" w:color="auto" w:sz="4" w:space="0"/>
              <w:right w:val="single" w:color="auto" w:sz="4" w:space="0"/>
            </w:tcBorders>
            <w:vAlign w:val="center"/>
          </w:tcPr>
          <w:p>
            <w:pPr>
              <w:widowControl/>
              <w:jc w:val="left"/>
              <w:rPr>
                <w:rFonts w:ascii="彩虹粗仿宋" w:hAnsi="等线" w:eastAsia="彩虹粗仿宋" w:cs="宋体"/>
                <w:color w:val="000000"/>
                <w:kern w:val="0"/>
              </w:rPr>
            </w:pPr>
          </w:p>
        </w:tc>
        <w:tc>
          <w:tcPr>
            <w:tcW w:w="0" w:type="auto"/>
            <w:vMerge w:val="continue"/>
            <w:tcBorders>
              <w:top w:val="nil"/>
              <w:left w:val="single" w:color="auto" w:sz="4" w:space="0"/>
              <w:bottom w:val="single" w:color="auto" w:sz="4" w:space="0"/>
              <w:right w:val="single" w:color="auto" w:sz="4" w:space="0"/>
            </w:tcBorders>
            <w:vAlign w:val="center"/>
          </w:tcPr>
          <w:p>
            <w:pPr>
              <w:widowControl/>
              <w:jc w:val="left"/>
              <w:rPr>
                <w:rFonts w:ascii="彩虹粗仿宋" w:hAnsi="等线" w:eastAsia="彩虹粗仿宋" w:cs="宋体"/>
                <w:color w:val="000000"/>
                <w:kern w:val="0"/>
              </w:rPr>
            </w:pPr>
          </w:p>
        </w:tc>
        <w:tc>
          <w:tcPr>
            <w:tcW w:w="0" w:type="auto"/>
            <w:vMerge w:val="continue"/>
            <w:tcBorders>
              <w:top w:val="nil"/>
              <w:left w:val="single" w:color="auto" w:sz="4" w:space="0"/>
              <w:bottom w:val="single" w:color="auto" w:sz="4" w:space="0"/>
              <w:right w:val="single" w:color="auto" w:sz="4" w:space="0"/>
            </w:tcBorders>
            <w:vAlign w:val="center"/>
          </w:tcPr>
          <w:p>
            <w:pPr>
              <w:widowControl/>
              <w:jc w:val="left"/>
              <w:rPr>
                <w:rFonts w:ascii="彩虹粗仿宋" w:hAnsi="等线" w:eastAsia="彩虹粗仿宋" w:cs="宋体"/>
                <w:color w:val="000000"/>
                <w:kern w:val="0"/>
              </w:rPr>
            </w:pPr>
          </w:p>
        </w:tc>
        <w:tc>
          <w:tcPr>
            <w:tcW w:w="0" w:type="auto"/>
            <w:vMerge w:val="continue"/>
            <w:tcBorders>
              <w:top w:val="nil"/>
              <w:left w:val="single" w:color="auto" w:sz="4" w:space="0"/>
              <w:bottom w:val="single" w:color="000000" w:sz="4" w:space="0"/>
              <w:right w:val="single" w:color="auto" w:sz="4" w:space="0"/>
            </w:tcBorders>
            <w:vAlign w:val="center"/>
          </w:tcPr>
          <w:p>
            <w:pPr>
              <w:widowControl/>
              <w:jc w:val="left"/>
              <w:rPr>
                <w:rFonts w:ascii="彩虹粗仿宋" w:hAnsi="等线" w:eastAsia="彩虹粗仿宋" w:cs="宋体"/>
                <w:color w:val="000000"/>
                <w:kern w:val="0"/>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altName w:val="Wingdings 3"/>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彩虹小标宋">
    <w:panose1 w:val="03000509000000000000"/>
    <w:charset w:val="86"/>
    <w:family w:val="script"/>
    <w:pitch w:val="default"/>
    <w:sig w:usb0="00000001" w:usb1="080E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 w:name="等线">
    <w:altName w:val="宋体"/>
    <w:panose1 w:val="02010600030101010101"/>
    <w:charset w:val="86"/>
    <w:family w:val="auto"/>
    <w:pitch w:val="default"/>
    <w:sig w:usb0="00000000" w:usb1="00000000"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3A83"/>
    <w:rsid w:val="001671F7"/>
    <w:rsid w:val="00176776"/>
    <w:rsid w:val="00221238"/>
    <w:rsid w:val="002E4517"/>
    <w:rsid w:val="00562C4D"/>
    <w:rsid w:val="005C203C"/>
    <w:rsid w:val="006B15B9"/>
    <w:rsid w:val="00793A83"/>
    <w:rsid w:val="00816104"/>
    <w:rsid w:val="009C7A5A"/>
    <w:rsid w:val="00A2494E"/>
    <w:rsid w:val="00BD5163"/>
    <w:rsid w:val="00D00FAE"/>
    <w:rsid w:val="00EA5686"/>
    <w:rsid w:val="579E5122"/>
    <w:rsid w:val="5F7FDE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7"/>
    <w:semiHidden/>
    <w:unhideWhenUsed/>
    <w:qFormat/>
    <w:uiPriority w:val="99"/>
    <w:pPr>
      <w:jc w:val="left"/>
    </w:pPr>
    <w:rPr>
      <w:rFonts w:eastAsia="宋体"/>
      <w:szCs w:val="24"/>
    </w:rPr>
  </w:style>
  <w:style w:type="paragraph" w:styleId="3">
    <w:name w:val="Body Text"/>
    <w:basedOn w:val="1"/>
    <w:next w:val="1"/>
    <w:link w:val="8"/>
    <w:unhideWhenUsed/>
    <w:qFormat/>
    <w:uiPriority w:val="0"/>
    <w:pPr>
      <w:adjustRightInd w:val="0"/>
      <w:snapToGrid w:val="0"/>
      <w:spacing w:line="360" w:lineRule="auto"/>
      <w:ind w:firstLine="723" w:firstLineChars="200"/>
    </w:pPr>
    <w:rPr>
      <w:rFonts w:ascii="Times New Roman" w:hAnsi="Times New Roman" w:eastAsia="宋体"/>
      <w:color w:val="000000" w:themeColor="text1"/>
      <w:sz w:val="28"/>
      <w:szCs w:val="32"/>
      <w:lang w:val="zh-CN"/>
      <w14:textFill>
        <w14:solidFill>
          <w14:schemeClr w14:val="tx1"/>
        </w14:solidFill>
      </w14:textFill>
    </w:rPr>
  </w:style>
  <w:style w:type="paragraph" w:styleId="6">
    <w:name w:val="List Paragraph"/>
    <w:basedOn w:val="1"/>
    <w:qFormat/>
    <w:uiPriority w:val="34"/>
    <w:pPr>
      <w:ind w:firstLine="420" w:firstLineChars="200"/>
    </w:pPr>
    <w:rPr>
      <w:rFonts w:ascii="Calibri" w:hAnsi="Calibri" w:eastAsia="宋体" w:cs="Times New Roman"/>
    </w:rPr>
  </w:style>
  <w:style w:type="character" w:customStyle="1" w:styleId="7">
    <w:name w:val="批注文字 字符"/>
    <w:basedOn w:val="5"/>
    <w:link w:val="2"/>
    <w:semiHidden/>
    <w:qFormat/>
    <w:uiPriority w:val="99"/>
    <w:rPr>
      <w:rFonts w:eastAsia="宋体"/>
      <w:szCs w:val="24"/>
    </w:rPr>
  </w:style>
  <w:style w:type="character" w:customStyle="1" w:styleId="8">
    <w:name w:val="正文文本 字符"/>
    <w:basedOn w:val="5"/>
    <w:link w:val="3"/>
    <w:qFormat/>
    <w:uiPriority w:val="0"/>
    <w:rPr>
      <w:rFonts w:ascii="Times New Roman" w:hAnsi="Times New Roman" w:eastAsia="宋体"/>
      <w:color w:val="000000" w:themeColor="text1"/>
      <w:sz w:val="28"/>
      <w:szCs w:val="32"/>
      <w:lang w:val="zh-CN"/>
      <w14:textFill>
        <w14:solidFill>
          <w14:schemeClr w14:val="tx1"/>
        </w14:solidFill>
      </w14:textFill>
    </w:rPr>
  </w:style>
  <w:style w:type="character" w:customStyle="1" w:styleId="9">
    <w:name w:val="段 Char"/>
    <w:link w:val="10"/>
    <w:qFormat/>
    <w:locked/>
    <w:uiPriority w:val="0"/>
    <w:rPr>
      <w:rFonts w:ascii="宋体" w:hAnsi="Times New Roman" w:eastAsia="宋体" w:cs="Times New Roman"/>
    </w:rPr>
  </w:style>
  <w:style w:type="paragraph" w:customStyle="1" w:styleId="10">
    <w:name w:val="段"/>
    <w:link w:val="9"/>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kern w:val="2"/>
      <w:sz w:val="21"/>
      <w:szCs w:val="22"/>
      <w:lang w:val="en-US" w:eastAsia="zh-CN" w:bidi="ar-SA"/>
    </w:rPr>
  </w:style>
  <w:style w:type="paragraph" w:customStyle="1" w:styleId="11">
    <w:name w:val="附录表标题"/>
    <w:basedOn w:val="1"/>
    <w:next w:val="10"/>
    <w:qFormat/>
    <w:uiPriority w:val="0"/>
    <w:pPr>
      <w:tabs>
        <w:tab w:val="left" w:pos="180"/>
      </w:tabs>
      <w:spacing w:beforeLines="50"/>
      <w:jc w:val="center"/>
    </w:pPr>
    <w:rPr>
      <w:rFonts w:ascii="黑体" w:hAnsi="Times New Roman" w:eastAsia="黑体" w:cs="Times New Roman"/>
      <w:szCs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4463</Words>
  <Characters>4554</Characters>
  <Lines>414</Lines>
  <Paragraphs>563</Paragraphs>
  <TotalTime>0</TotalTime>
  <ScaleCrop>false</ScaleCrop>
  <LinksUpToDate>false</LinksUpToDate>
  <CharactersWithSpaces>8454</CharactersWithSpaces>
  <Application>WPS Office_12.8.2.15209_F1E327BC-269C-435d-A152-05C5408002CA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2019-03-29T18:57:00Z</dcterms:created>
  <dc:creator>Apache POI</dc:creator>
  <cp:lastModifiedBy>ccb</cp:lastModifiedBy>
  <dcterms:modified xsi:type="dcterms:W3CDTF">2024-09-27T08:59:13Z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CCB46F827FCF0C50CC02F666B47E849D_43</vt:lpwstr>
  </property>
</Properties>
</file>